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00AC" w14:textId="543A3AE9" w:rsidR="00D2777B" w:rsidRPr="00B02F85" w:rsidRDefault="00D2777B" w:rsidP="00B02F85">
      <w:pPr>
        <w:pStyle w:val="Ttulo1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Toc510082608"/>
      <w:bookmarkStart w:id="1" w:name="_Toc509992610"/>
      <w:r w:rsidRPr="00B02F85">
        <w:rPr>
          <w:rFonts w:ascii="Arial" w:hAnsi="Arial" w:cs="Arial"/>
          <w:b/>
          <w:color w:val="000000" w:themeColor="text1"/>
          <w:sz w:val="28"/>
          <w:szCs w:val="28"/>
        </w:rPr>
        <w:t xml:space="preserve">FCA73. Escrit en què s’interposa recurs d’apel·lació contra interlocutòria dictada </w:t>
      </w:r>
      <w:r w:rsidR="00D54356">
        <w:rPr>
          <w:rFonts w:ascii="Arial" w:hAnsi="Arial" w:cs="Arial"/>
          <w:b/>
          <w:color w:val="000000" w:themeColor="text1"/>
          <w:sz w:val="28"/>
          <w:szCs w:val="28"/>
        </w:rPr>
        <w:t xml:space="preserve">per la secció contenciosa administrativa </w:t>
      </w:r>
      <w:r w:rsidRPr="00D54356">
        <w:rPr>
          <w:rFonts w:ascii="Arial" w:hAnsi="Arial" w:cs="Arial"/>
          <w:bCs/>
          <w:color w:val="000000" w:themeColor="text1"/>
          <w:sz w:val="28"/>
          <w:szCs w:val="28"/>
        </w:rPr>
        <w:t>(article 80.1 LJCA)</w:t>
      </w:r>
      <w:bookmarkEnd w:id="0"/>
      <w:bookmarkEnd w:id="1"/>
    </w:p>
    <w:p w14:paraId="3CD4B71A" w14:textId="77777777" w:rsidR="00D2777B" w:rsidRPr="00B02F85" w:rsidRDefault="00D2777B" w:rsidP="00B02F85">
      <w:pPr>
        <w:spacing w:line="300" w:lineRule="atLeast"/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47813A95" w14:textId="417A8F77" w:rsidR="00D2777B" w:rsidRDefault="00D54356" w:rsidP="00D2777B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A LA SECCIÓ CONTENCIOSA ADMINISTRATIVA DEL TRIBUNAL D’INSTÀNCIA</w:t>
      </w:r>
    </w:p>
    <w:p w14:paraId="43B153AD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04E3DCC2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3498A7D7" w14:textId="5B9AF76A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...................., </w:t>
      </w:r>
      <w:r w:rsidRPr="00D54356">
        <w:rPr>
          <w:rFonts w:cs="Arial"/>
          <w:szCs w:val="24"/>
        </w:rPr>
        <w:t xml:space="preserve">advocat/advocada de l’Il·lustre Col·legi d’Advocats de </w:t>
      </w:r>
      <w:r w:rsidRPr="00D54356">
        <w:rPr>
          <w:rFonts w:cs="Arial"/>
          <w:i/>
          <w:szCs w:val="24"/>
        </w:rPr>
        <w:t>........</w:t>
      </w:r>
      <w:r w:rsidR="00D54356" w:rsidRPr="00D54356">
        <w:rPr>
          <w:rFonts w:cs="Arial"/>
          <w:i/>
          <w:szCs w:val="24"/>
        </w:rPr>
        <w:t xml:space="preserve"> </w:t>
      </w:r>
      <w:r w:rsidR="00D54356" w:rsidRPr="00D54356">
        <w:rPr>
          <w:i/>
          <w:sz w:val="20"/>
        </w:rPr>
        <w:t>(en cas d’adreçar-se a la Secció)</w:t>
      </w:r>
      <w:r w:rsidRPr="00D54356">
        <w:rPr>
          <w:rFonts w:cs="Arial"/>
          <w:szCs w:val="24"/>
        </w:rPr>
        <w:t>, en nom d .................., representació que tinc acreditada en les actuacions de recurs contenciós administratiu número ...., interposat contra</w:t>
      </w:r>
      <w:r>
        <w:rPr>
          <w:rFonts w:cs="Arial"/>
          <w:szCs w:val="24"/>
        </w:rPr>
        <w:t xml:space="preserve"> l’acte de ........., sobre ..........., comparec davant d’aquest</w:t>
      </w:r>
      <w:r w:rsidR="00D54356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D54356">
        <w:rPr>
          <w:rFonts w:cs="Arial"/>
          <w:szCs w:val="24"/>
        </w:rPr>
        <w:t>Secció del Tribunal d’Instància i</w:t>
      </w:r>
    </w:p>
    <w:p w14:paraId="5F6BA0C5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3F039236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070D09FF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1A453017" w14:textId="33B11750" w:rsidR="00D2777B" w:rsidRDefault="00D2777B" w:rsidP="00D2777B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el passat dia ....... se’m va notificar la interlocutòria dictada per aquest</w:t>
      </w:r>
      <w:r w:rsidR="00D54356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D54356">
        <w:rPr>
          <w:rFonts w:cs="Arial"/>
          <w:szCs w:val="24"/>
        </w:rPr>
        <w:t xml:space="preserve">Secció </w:t>
      </w:r>
      <w:r>
        <w:rPr>
          <w:rFonts w:cs="Arial"/>
          <w:szCs w:val="24"/>
        </w:rPr>
        <w:t xml:space="preserve">en data .............., mitjançant la qual declara la inadmissió del recurs contenciós administratiu que vaig interposar en el seu dia </w:t>
      </w:r>
      <w:r>
        <w:rPr>
          <w:rFonts w:cs="Arial"/>
          <w:i/>
          <w:szCs w:val="24"/>
        </w:rPr>
        <w:t>(especifiqueu en quin dels supòsits de l’article 80.1 o 80.2 LJCA s’ha dictat la interlocutòria, per determinar si és apel·lable en un sol efecte o en dos)</w:t>
      </w:r>
      <w:r>
        <w:rPr>
          <w:rFonts w:cs="Arial"/>
          <w:szCs w:val="24"/>
        </w:rPr>
        <w:t>.</w:t>
      </w:r>
    </w:p>
    <w:p w14:paraId="6B529B86" w14:textId="77777777" w:rsidR="00D2777B" w:rsidRDefault="00D2777B" w:rsidP="00D2777B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la interlocutòria esmentada és perjudicial per als interessos del meu poderdant.</w:t>
      </w:r>
    </w:p>
    <w:p w14:paraId="5B255438" w14:textId="77777777" w:rsidR="00D2777B" w:rsidRDefault="00D2777B" w:rsidP="00D2777B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Que, dins del termini de quinze dies a què fa referència l’article 85.1 de la LJCA, interposo un recurs d’apel·lació en un sol efecte </w:t>
      </w:r>
      <w:r>
        <w:rPr>
          <w:rFonts w:cs="Arial"/>
          <w:i/>
          <w:szCs w:val="24"/>
        </w:rPr>
        <w:t>(o en ambdós efectes si es tracta d’una interlocutòria de les esmentades a l’article 80.2 LJCA)</w:t>
      </w:r>
      <w:r>
        <w:rPr>
          <w:rFonts w:cs="Arial"/>
          <w:szCs w:val="24"/>
        </w:rPr>
        <w:t>, sobre la base de les al·legacions següents:</w:t>
      </w:r>
    </w:p>
    <w:p w14:paraId="421CE1F4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69151FE9" w14:textId="77777777" w:rsidR="00D2777B" w:rsidRDefault="00D2777B" w:rsidP="00D2777B">
      <w:pPr>
        <w:numPr>
          <w:ilvl w:val="0"/>
          <w:numId w:val="2"/>
        </w:numPr>
        <w:spacing w:line="300" w:lineRule="atLeast"/>
        <w:ind w:left="1418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......................</w:t>
      </w:r>
    </w:p>
    <w:p w14:paraId="6A76186A" w14:textId="77777777" w:rsidR="00D2777B" w:rsidRDefault="00D2777B" w:rsidP="00D2777B">
      <w:pPr>
        <w:numPr>
          <w:ilvl w:val="0"/>
          <w:numId w:val="2"/>
        </w:numPr>
        <w:spacing w:line="300" w:lineRule="atLeast"/>
        <w:ind w:left="1418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......................</w:t>
      </w:r>
    </w:p>
    <w:p w14:paraId="4F93947E" w14:textId="77777777" w:rsidR="00D2777B" w:rsidRDefault="00D2777B" w:rsidP="00D2777B">
      <w:pPr>
        <w:spacing w:line="300" w:lineRule="atLeast"/>
        <w:ind w:left="2136"/>
        <w:jc w:val="both"/>
        <w:rPr>
          <w:rFonts w:cs="Arial"/>
          <w:szCs w:val="24"/>
        </w:rPr>
      </w:pPr>
    </w:p>
    <w:p w14:paraId="6BB47485" w14:textId="77777777" w:rsidR="00D2777B" w:rsidRDefault="00D2777B" w:rsidP="00D2777B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bookmarkStart w:id="2" w:name="_Hlk509998424"/>
      <w:r>
        <w:rPr>
          <w:rFonts w:cs="Arial"/>
          <w:szCs w:val="24"/>
        </w:rPr>
        <w:t>Costes processals. De conformitat amb el que preveu l’article 139.2 de la LJCA, amb relació a les costes en els recursos s’escauen determinades circumstàncies que justifiquen la no imposició. (</w:t>
      </w:r>
      <w:r>
        <w:rPr>
          <w:rFonts w:cs="Arial"/>
          <w:i/>
          <w:szCs w:val="24"/>
        </w:rPr>
        <w:t>Podeu incloure el raonament que evidenciï l’existència de les circumstàncies esmentades.</w:t>
      </w:r>
      <w:r>
        <w:rPr>
          <w:rFonts w:cs="Arial"/>
          <w:szCs w:val="24"/>
        </w:rPr>
        <w:t>)</w:t>
      </w:r>
    </w:p>
    <w:bookmarkEnd w:id="2"/>
    <w:p w14:paraId="04E70EDA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2F31707A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Per això, </w:t>
      </w:r>
    </w:p>
    <w:p w14:paraId="16B4C367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2FB8FA0B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665D579A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25F6A675" w14:textId="2B06D6E5" w:rsidR="00D2777B" w:rsidRDefault="00D2777B" w:rsidP="00D2777B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Que admeteu aquest escrit </w:t>
      </w:r>
      <w:r w:rsidR="00D54356">
        <w:rPr>
          <w:rFonts w:cs="Arial"/>
          <w:szCs w:val="24"/>
        </w:rPr>
        <w:t>així com el document acreditatiu de la consignació del dipòsit per recórrer</w:t>
      </w:r>
      <w:r>
        <w:rPr>
          <w:rFonts w:cs="Arial"/>
          <w:szCs w:val="24"/>
        </w:rPr>
        <w:t>.</w:t>
      </w:r>
    </w:p>
    <w:p w14:paraId="025CA57B" w14:textId="77777777" w:rsidR="00D2777B" w:rsidRDefault="00D2777B" w:rsidP="00D2777B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tingueu per interposat recurs d’apel·lació contra la interlocutòria dictada el dia ........... .</w:t>
      </w:r>
    </w:p>
    <w:p w14:paraId="37452465" w14:textId="406EEA87" w:rsidR="00D2777B" w:rsidRDefault="00D2777B" w:rsidP="00D2777B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Que, després dels tràmits preceptius, eleveu les actuacions i l’expedient administratiu a la Sala Contenciosa Administrativa del Tribunal Superior de Justícia de Catalunya.</w:t>
      </w:r>
    </w:p>
    <w:p w14:paraId="7291FFD2" w14:textId="77777777" w:rsidR="00D2777B" w:rsidRDefault="00D2777B" w:rsidP="00D2777B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la Sala, atenent les consideracions que he exposat, dicti sentència per la qual revoqui la interlocutòria objecte d’apel·lació, i decideixi en lloc seu que .............. .</w:t>
      </w:r>
    </w:p>
    <w:p w14:paraId="661016EB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124C2A7D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ALTRESSÍ PRIMER DIC: Que m’interessa la recepció a prova d’aquest recurs, per a la pràctica de ............. </w:t>
      </w:r>
      <w:r>
        <w:rPr>
          <w:rFonts w:cs="Arial"/>
          <w:i/>
          <w:szCs w:val="24"/>
        </w:rPr>
        <w:t>(especifiqueu el mitjà o mitjans concrets de prova)</w:t>
      </w:r>
      <w:r>
        <w:rPr>
          <w:rFonts w:cs="Arial"/>
          <w:szCs w:val="24"/>
        </w:rPr>
        <w:t>, que va ser denegada en primera instància i/o</w:t>
      </w:r>
      <w:r>
        <w:rPr>
          <w:rFonts w:cs="Arial"/>
          <w:i/>
          <w:szCs w:val="24"/>
        </w:rPr>
        <w:t xml:space="preserve"> </w:t>
      </w:r>
      <w:r>
        <w:rPr>
          <w:rFonts w:cs="Arial"/>
          <w:szCs w:val="24"/>
        </w:rPr>
        <w:t>no va ser degudament practicada en la primera instància per causa no imputable a aquesta part. La prova sol·licitada versa sobre fets en què concorren els requisits exigits en l’article 60.3 de la LJCA, atès que ...................... .</w:t>
      </w:r>
    </w:p>
    <w:p w14:paraId="0F06AD38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0E2FEC7A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Per això, a l’empara del que disposa l’article 85.3 de la LJCA,</w:t>
      </w:r>
    </w:p>
    <w:p w14:paraId="5F8FC176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28FDAE1A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 Que tingueu per feta la sol·licitud de recepció a prova, i hi acordeu en el moment processal oportú de conformitat.</w:t>
      </w:r>
    </w:p>
    <w:p w14:paraId="270CD3F1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322B9CBE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ALTRESSÍ SEGON DIC: Que, a l’empara del que disposa l’article 85.7 de la LJCA, m’interessa la celebració de vista / la presentació de conclusions escrites / que el plet sigui declarat, sense més tràmits (</w:t>
      </w:r>
      <w:r>
        <w:rPr>
          <w:rFonts w:cs="Arial"/>
          <w:i/>
          <w:szCs w:val="24"/>
        </w:rPr>
        <w:t>només en el supòsit de no sol·licitar recepció a prova, cas en què caldria eliminar l’altressí primer</w:t>
      </w:r>
      <w:r>
        <w:rPr>
          <w:rFonts w:cs="Arial"/>
          <w:szCs w:val="24"/>
        </w:rPr>
        <w:t>), conclús per a sentència.</w:t>
      </w:r>
    </w:p>
    <w:p w14:paraId="4E28F6D8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1492A3CC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Per això, </w:t>
      </w:r>
    </w:p>
    <w:p w14:paraId="58A28F17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</w:p>
    <w:p w14:paraId="6F585838" w14:textId="77777777" w:rsidR="00D2777B" w:rsidRDefault="00D2777B" w:rsidP="00D2777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 Que tingueu per sol·licitada la celebració de vista / la presentació de conclusions escrites / que el plet sigui declarat, sense més tràmits, conclús per a sentència, i hi acordeu en el moment processal oportú de conformitat.</w:t>
      </w:r>
    </w:p>
    <w:p w14:paraId="2B3D47A5" w14:textId="77777777" w:rsidR="00D2777B" w:rsidRDefault="00D2777B" w:rsidP="00D2777B">
      <w:pPr>
        <w:spacing w:line="300" w:lineRule="atLeast"/>
        <w:ind w:left="4248" w:firstLine="708"/>
        <w:rPr>
          <w:rFonts w:cs="Arial"/>
          <w:szCs w:val="24"/>
        </w:rPr>
      </w:pPr>
    </w:p>
    <w:p w14:paraId="68F23C9C" w14:textId="77777777" w:rsidR="00D2777B" w:rsidRDefault="00D2777B" w:rsidP="00D2777B">
      <w:pPr>
        <w:spacing w:line="300" w:lineRule="atLeast"/>
        <w:rPr>
          <w:rFonts w:cs="Arial"/>
          <w:szCs w:val="24"/>
        </w:rPr>
      </w:pPr>
    </w:p>
    <w:p w14:paraId="300C2B4D" w14:textId="77777777" w:rsidR="000F4F31" w:rsidRPr="00E51393" w:rsidRDefault="00D2777B" w:rsidP="00E51393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....., ....... de/d’................. de ..............</w:t>
      </w:r>
    </w:p>
    <w:sectPr w:rsidR="000F4F31" w:rsidRPr="00E51393" w:rsidSect="00D54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467CB"/>
    <w:multiLevelType w:val="singleLevel"/>
    <w:tmpl w:val="4C84B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741460"/>
    <w:multiLevelType w:val="singleLevel"/>
    <w:tmpl w:val="C01434CC"/>
    <w:lvl w:ilvl="0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</w:lvl>
  </w:abstractNum>
  <w:abstractNum w:abstractNumId="2" w15:restartNumberingAfterBreak="0">
    <w:nsid w:val="5F3C4AAF"/>
    <w:multiLevelType w:val="singleLevel"/>
    <w:tmpl w:val="D5281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76212094">
    <w:abstractNumId w:val="0"/>
    <w:lvlOverride w:ilvl="0">
      <w:startOverride w:val="1"/>
    </w:lvlOverride>
  </w:num>
  <w:num w:numId="2" w16cid:durableId="1578398309">
    <w:abstractNumId w:val="1"/>
    <w:lvlOverride w:ilvl="0">
      <w:startOverride w:val="1"/>
    </w:lvlOverride>
  </w:num>
  <w:num w:numId="3" w16cid:durableId="161390422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7B"/>
    <w:rsid w:val="000F4F31"/>
    <w:rsid w:val="003562ED"/>
    <w:rsid w:val="004D77FB"/>
    <w:rsid w:val="007749D2"/>
    <w:rsid w:val="00A64A45"/>
    <w:rsid w:val="00B02F85"/>
    <w:rsid w:val="00BF398E"/>
    <w:rsid w:val="00D2777B"/>
    <w:rsid w:val="00D54356"/>
    <w:rsid w:val="00E31356"/>
    <w:rsid w:val="00E5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66D3"/>
  <w15:chartTrackingRefBased/>
  <w15:docId w15:val="{6820BD0C-1957-4941-BDB4-391CC98B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77B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D77FB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7F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7F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7F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7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7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7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7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77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7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7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7FB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D77FB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D77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7F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D77FB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D77FB"/>
    <w:rPr>
      <w:b/>
      <w:bCs/>
    </w:rPr>
  </w:style>
  <w:style w:type="character" w:styleId="nfasis">
    <w:name w:val="Emphasis"/>
    <w:basedOn w:val="Fuentedeprrafopredeter"/>
    <w:uiPriority w:val="20"/>
    <w:qFormat/>
    <w:rsid w:val="004D77FB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D77F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D77F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D77FB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7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7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D77F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D77F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D77FB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D77FB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D77FB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7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542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6</cp:revision>
  <dcterms:created xsi:type="dcterms:W3CDTF">2021-12-18T17:46:00Z</dcterms:created>
  <dcterms:modified xsi:type="dcterms:W3CDTF">2025-11-07T17:16:00Z</dcterms:modified>
</cp:coreProperties>
</file>