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lang w:eastAsia="es-ES"/>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28EF5894" w:rsidR="00F36F1E" w:rsidRPr="003F7F6C" w:rsidRDefault="0045629D" w:rsidP="00756CA4">
      <w:pPr>
        <w:jc w:val="both"/>
        <w:rPr>
          <w:rFonts w:ascii="Arial" w:hAnsi="Arial" w:cs="Arial"/>
          <w:sz w:val="23"/>
          <w:szCs w:val="23"/>
          <w:lang w:val="ca-ES"/>
        </w:rPr>
      </w:pPr>
      <w:r w:rsidRPr="003F7F6C">
        <w:rPr>
          <w:rFonts w:ascii="Arial" w:hAnsi="Arial" w:cs="Arial"/>
          <w:b/>
          <w:bCs/>
          <w:sz w:val="23"/>
          <w:szCs w:val="23"/>
          <w:lang w:val="ca-ES"/>
        </w:rPr>
        <w:t xml:space="preserve">Testament hològraf </w:t>
      </w:r>
      <w:r w:rsidR="001F0D76" w:rsidRPr="003F7F6C">
        <w:rPr>
          <w:rFonts w:ascii="Arial" w:hAnsi="Arial" w:cs="Arial"/>
          <w:b/>
          <w:bCs/>
          <w:sz w:val="23"/>
          <w:szCs w:val="23"/>
          <w:lang w:val="ca-ES"/>
        </w:rPr>
        <w:t>o testament tancat</w:t>
      </w:r>
      <w:r w:rsidR="006C5295" w:rsidRPr="003F7F6C">
        <w:rPr>
          <w:rStyle w:val="Refdenotaalfinal"/>
          <w:rFonts w:ascii="Arial" w:hAnsi="Arial" w:cs="Arial"/>
          <w:b/>
          <w:bCs/>
          <w:color w:val="00B0F0"/>
          <w:sz w:val="23"/>
          <w:szCs w:val="23"/>
          <w:lang w:val="ca-ES"/>
        </w:rPr>
        <w:endnoteReference w:id="1"/>
      </w:r>
      <w:r w:rsidR="001F0D76" w:rsidRPr="003F7F6C">
        <w:rPr>
          <w:rFonts w:ascii="Arial" w:hAnsi="Arial" w:cs="Arial"/>
          <w:b/>
          <w:bCs/>
          <w:sz w:val="23"/>
          <w:szCs w:val="23"/>
          <w:lang w:val="ca-ES"/>
        </w:rPr>
        <w:t xml:space="preserve"> </w:t>
      </w:r>
      <w:r w:rsidRPr="003F7F6C">
        <w:rPr>
          <w:rFonts w:ascii="Arial" w:hAnsi="Arial" w:cs="Arial"/>
          <w:b/>
          <w:bCs/>
          <w:sz w:val="23"/>
          <w:szCs w:val="23"/>
          <w:lang w:val="ca-ES"/>
        </w:rPr>
        <w:t>que institueix hereu</w:t>
      </w:r>
      <w:r w:rsidR="001D0217">
        <w:rPr>
          <w:rFonts w:ascii="Arial" w:hAnsi="Arial" w:cs="Arial"/>
          <w:b/>
          <w:bCs/>
          <w:sz w:val="23"/>
          <w:szCs w:val="23"/>
          <w:lang w:val="ca-ES"/>
        </w:rPr>
        <w:t>/va</w:t>
      </w:r>
      <w:r w:rsidRPr="003F7F6C">
        <w:rPr>
          <w:rFonts w:ascii="Arial" w:hAnsi="Arial" w:cs="Arial"/>
          <w:b/>
          <w:bCs/>
          <w:sz w:val="23"/>
          <w:szCs w:val="23"/>
          <w:lang w:val="ca-ES"/>
        </w:rPr>
        <w:t xml:space="preserve"> </w:t>
      </w:r>
      <w:r w:rsidR="00D46673">
        <w:rPr>
          <w:rFonts w:ascii="Arial" w:hAnsi="Arial" w:cs="Arial"/>
          <w:b/>
          <w:bCs/>
          <w:sz w:val="23"/>
          <w:szCs w:val="23"/>
          <w:lang w:val="ca-ES"/>
        </w:rPr>
        <w:t xml:space="preserve">a </w:t>
      </w:r>
      <w:r w:rsidR="00756CA4" w:rsidRPr="003F7F6C">
        <w:rPr>
          <w:rFonts w:ascii="Arial" w:hAnsi="Arial" w:cs="Arial"/>
          <w:b/>
          <w:bCs/>
          <w:sz w:val="23"/>
          <w:szCs w:val="23"/>
          <w:lang w:val="ca-ES"/>
        </w:rPr>
        <w:t>qu</w:t>
      </w:r>
      <w:r w:rsidR="007C24E5">
        <w:rPr>
          <w:rFonts w:ascii="Arial" w:hAnsi="Arial" w:cs="Arial"/>
          <w:b/>
          <w:bCs/>
          <w:sz w:val="23"/>
          <w:szCs w:val="23"/>
          <w:lang w:val="ca-ES"/>
        </w:rPr>
        <w:t>i</w:t>
      </w:r>
      <w:r w:rsidR="00756CA4" w:rsidRPr="003F7F6C">
        <w:rPr>
          <w:rFonts w:ascii="Arial" w:hAnsi="Arial" w:cs="Arial"/>
          <w:b/>
          <w:bCs/>
          <w:sz w:val="23"/>
          <w:szCs w:val="23"/>
          <w:lang w:val="ca-ES"/>
        </w:rPr>
        <w:t xml:space="preserve"> </w:t>
      </w:r>
      <w:r w:rsidR="00786253">
        <w:rPr>
          <w:rFonts w:ascii="Arial" w:hAnsi="Arial" w:cs="Arial"/>
          <w:b/>
          <w:bCs/>
          <w:sz w:val="23"/>
          <w:szCs w:val="23"/>
          <w:lang w:val="ca-ES"/>
        </w:rPr>
        <w:t xml:space="preserve">autoritza a pagar la llegítima en </w:t>
      </w:r>
      <w:r w:rsidR="008B0E0C">
        <w:rPr>
          <w:rFonts w:ascii="Arial" w:hAnsi="Arial" w:cs="Arial"/>
          <w:b/>
          <w:bCs/>
          <w:sz w:val="23"/>
          <w:szCs w:val="23"/>
          <w:lang w:val="ca-ES"/>
        </w:rPr>
        <w:t>doblers</w:t>
      </w:r>
      <w:r w:rsidR="005C2FEF" w:rsidRPr="003F7F6C">
        <w:rPr>
          <w:rStyle w:val="Refdenotaalfinal"/>
          <w:rFonts w:ascii="Arial" w:hAnsi="Arial" w:cs="Arial"/>
          <w:b/>
          <w:bCs/>
          <w:color w:val="00B0F0"/>
          <w:sz w:val="23"/>
          <w:szCs w:val="23"/>
          <w:lang w:val="ca-ES"/>
        </w:rPr>
        <w:endnoteReference w:id="2"/>
      </w:r>
      <w:r w:rsidRPr="003F7F6C">
        <w:rPr>
          <w:rFonts w:ascii="Arial" w:hAnsi="Arial" w:cs="Arial"/>
          <w:b/>
          <w:bCs/>
          <w:sz w:val="23"/>
          <w:szCs w:val="23"/>
          <w:lang w:val="ca-ES"/>
        </w:rPr>
        <w:t xml:space="preserve"> </w:t>
      </w:r>
      <w:r w:rsidRPr="003F7F6C">
        <w:rPr>
          <w:rFonts w:ascii="Arial" w:hAnsi="Arial" w:cs="Arial"/>
          <w:sz w:val="23"/>
          <w:szCs w:val="23"/>
          <w:lang w:val="ca-ES"/>
        </w:rPr>
        <w:t>(</w:t>
      </w:r>
      <w:r w:rsidR="006B2FBA">
        <w:rPr>
          <w:rFonts w:ascii="Arial" w:hAnsi="Arial" w:cs="Arial"/>
          <w:sz w:val="23"/>
          <w:szCs w:val="23"/>
          <w:lang w:val="ca-ES"/>
        </w:rPr>
        <w:t>a</w:t>
      </w:r>
      <w:r w:rsidRPr="003F7F6C">
        <w:rPr>
          <w:rFonts w:ascii="Arial" w:hAnsi="Arial" w:cs="Arial"/>
          <w:sz w:val="23"/>
          <w:szCs w:val="23"/>
          <w:lang w:val="ca-ES"/>
        </w:rPr>
        <w:t>rticle</w:t>
      </w:r>
      <w:r w:rsidR="00C95E40">
        <w:rPr>
          <w:rFonts w:ascii="Arial" w:hAnsi="Arial" w:cs="Arial"/>
          <w:sz w:val="23"/>
          <w:szCs w:val="23"/>
          <w:lang w:val="ca-ES"/>
        </w:rPr>
        <w:t xml:space="preserve"> 4</w:t>
      </w:r>
      <w:r w:rsidR="00756CA4" w:rsidRPr="003F7F6C">
        <w:rPr>
          <w:rFonts w:ascii="Arial" w:hAnsi="Arial" w:cs="Arial"/>
          <w:sz w:val="23"/>
          <w:szCs w:val="23"/>
          <w:lang w:val="ca-ES"/>
        </w:rPr>
        <w:t xml:space="preserve">8 </w:t>
      </w:r>
      <w:r w:rsidRPr="003F7F6C">
        <w:rPr>
          <w:rFonts w:ascii="Arial" w:hAnsi="Arial" w:cs="Arial"/>
          <w:sz w:val="23"/>
          <w:szCs w:val="23"/>
          <w:lang w:val="ca-ES"/>
        </w:rPr>
        <w:t>del Decret legislatiu 79/1990)</w:t>
      </w:r>
    </w:p>
    <w:p w14:paraId="36B3C7E9" w14:textId="7B96AAA4"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33D9C031" w14:textId="43AEEB59" w:rsidR="0045629D" w:rsidRPr="003F7F6C" w:rsidRDefault="0045629D">
      <w:pPr>
        <w:rPr>
          <w:rFonts w:ascii="Arial" w:hAnsi="Arial" w:cs="Arial"/>
          <w:sz w:val="23"/>
          <w:szCs w:val="23"/>
          <w:lang w:val="ca-ES"/>
        </w:rPr>
      </w:pPr>
    </w:p>
    <w:p w14:paraId="190693E5" w14:textId="38BA0785" w:rsidR="0045629D" w:rsidRPr="003F7F6C" w:rsidRDefault="0056758F" w:rsidP="0045629D">
      <w:pPr>
        <w:jc w:val="both"/>
        <w:rPr>
          <w:rFonts w:ascii="Arial" w:hAnsi="Arial" w:cs="Arial"/>
          <w:sz w:val="23"/>
          <w:szCs w:val="23"/>
          <w:lang w:val="ca-ES"/>
        </w:rPr>
      </w:pPr>
      <w:r w:rsidRPr="003F7F6C">
        <w:rPr>
          <w:rFonts w:ascii="Arial" w:hAnsi="Arial" w:cs="Arial"/>
          <w:sz w:val="23"/>
          <w:szCs w:val="23"/>
          <w:lang w:val="ca-ES"/>
        </w:rPr>
        <w:t xml:space="preserve">Jo, </w:t>
      </w:r>
      <w:r w:rsidR="007619BE" w:rsidRPr="003F7F6C">
        <w:rPr>
          <w:rFonts w:ascii="Arial" w:hAnsi="Arial" w:cs="Arial"/>
          <w:sz w:val="23"/>
          <w:szCs w:val="23"/>
        </w:rPr>
        <w:t xml:space="preserve">.................., </w:t>
      </w:r>
      <w:r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F7F6C">
        <w:rPr>
          <w:rFonts w:ascii="Arial" w:hAnsi="Arial" w:cs="Arial"/>
          <w:sz w:val="23"/>
          <w:szCs w:val="23"/>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o l’equivalent si es tract</w:t>
      </w:r>
      <w:r w:rsidR="00301EA5">
        <w:rPr>
          <w:rFonts w:ascii="Arial" w:hAnsi="Arial" w:cs="Arial"/>
          <w:i/>
          <w:sz w:val="23"/>
          <w:szCs w:val="23"/>
          <w:lang w:val="ca-ES"/>
        </w:rPr>
        <w:t>a</w:t>
      </w:r>
      <w:r w:rsidR="00C55397" w:rsidRPr="003F7F6C">
        <w:rPr>
          <w:rFonts w:ascii="Arial" w:hAnsi="Arial" w:cs="Arial"/>
          <w:i/>
          <w:sz w:val="23"/>
          <w:szCs w:val="23"/>
          <w:lang w:val="ca-ES"/>
        </w:rPr>
        <w:t xml:space="preserve"> d’un ciutadà amb nacionalitat diferent a l’espanyola</w:t>
      </w:r>
      <w:r w:rsidR="00C55397" w:rsidRPr="003F7F6C">
        <w:rPr>
          <w:rFonts w:ascii="Arial" w:hAnsi="Arial" w:cs="Arial"/>
          <w:sz w:val="23"/>
          <w:szCs w:val="23"/>
          <w:lang w:val="ca-ES"/>
        </w:rPr>
        <w:t>)</w:t>
      </w:r>
      <w:r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A31284" w:rsidRPr="003F7F6C">
        <w:rPr>
          <w:rFonts w:ascii="Arial" w:hAnsi="Arial" w:cs="Arial"/>
          <w:sz w:val="23"/>
          <w:szCs w:val="23"/>
          <w:lang w:val="ca-ES"/>
        </w:rPr>
        <w:t>,</w:t>
      </w:r>
      <w:r w:rsidR="00A31284" w:rsidRPr="003F7F6C">
        <w:rPr>
          <w:rStyle w:val="Refdenotaalfinal"/>
          <w:rFonts w:ascii="Arial" w:hAnsi="Arial" w:cs="Arial"/>
          <w:b/>
          <w:bCs/>
          <w:color w:val="00B0F0"/>
          <w:sz w:val="23"/>
          <w:szCs w:val="23"/>
          <w:lang w:val="ca-ES"/>
        </w:rPr>
        <w:endnoteReference w:id="3"/>
      </w:r>
    </w:p>
    <w:p w14:paraId="6863FFE7" w14:textId="77777777" w:rsidR="00A31284" w:rsidRPr="003F7F6C" w:rsidRDefault="00A31284" w:rsidP="0045629D">
      <w:pPr>
        <w:jc w:val="both"/>
        <w:rPr>
          <w:rFonts w:ascii="Arial" w:hAnsi="Arial" w:cs="Arial"/>
          <w:sz w:val="23"/>
          <w:szCs w:val="23"/>
          <w:lang w:val="ca-ES"/>
        </w:rPr>
      </w:pPr>
    </w:p>
    <w:p w14:paraId="714E9534" w14:textId="7D417BA6" w:rsidR="00A31284" w:rsidRPr="003F7F6C" w:rsidRDefault="00A31284" w:rsidP="00A31284">
      <w:pPr>
        <w:jc w:val="center"/>
        <w:rPr>
          <w:rFonts w:ascii="Arial" w:hAnsi="Arial" w:cs="Arial"/>
          <w:b/>
          <w:sz w:val="23"/>
          <w:szCs w:val="23"/>
          <w:lang w:val="ca-ES"/>
        </w:rPr>
      </w:pPr>
      <w:r w:rsidRPr="003F7F6C">
        <w:rPr>
          <w:rFonts w:ascii="Arial" w:hAnsi="Arial" w:cs="Arial"/>
          <w:b/>
          <w:sz w:val="23"/>
          <w:szCs w:val="23"/>
          <w:lang w:val="ca-ES"/>
        </w:rPr>
        <w:t xml:space="preserve">Manifest la meva voluntat d’atorgar el </w:t>
      </w:r>
      <w:r w:rsidR="006200DF" w:rsidRPr="003F7F6C">
        <w:rPr>
          <w:rFonts w:ascii="Arial" w:hAnsi="Arial" w:cs="Arial"/>
          <w:b/>
          <w:sz w:val="23"/>
          <w:szCs w:val="23"/>
          <w:lang w:val="ca-ES"/>
        </w:rPr>
        <w:t xml:space="preserve">testament </w:t>
      </w:r>
      <w:r w:rsidRPr="003F7F6C">
        <w:rPr>
          <w:rFonts w:ascii="Arial" w:hAnsi="Arial" w:cs="Arial"/>
          <w:b/>
          <w:sz w:val="23"/>
          <w:szCs w:val="23"/>
          <w:lang w:val="ca-ES"/>
        </w:rPr>
        <w:t xml:space="preserve">següent: </w:t>
      </w:r>
    </w:p>
    <w:p w14:paraId="7D478F95" w14:textId="77777777" w:rsidR="001F0D76" w:rsidRPr="003F7F6C" w:rsidRDefault="001F0D76" w:rsidP="00A31284">
      <w:pPr>
        <w:jc w:val="both"/>
        <w:rPr>
          <w:rFonts w:ascii="Arial" w:hAnsi="Arial" w:cs="Arial"/>
          <w:b/>
          <w:i/>
          <w:iCs/>
          <w:color w:val="00B0F0"/>
          <w:sz w:val="23"/>
          <w:szCs w:val="23"/>
          <w:lang w:val="ca-ES"/>
        </w:rPr>
      </w:pPr>
    </w:p>
    <w:p w14:paraId="5A8A1407" w14:textId="78B955CA" w:rsidR="00A31284" w:rsidRPr="003F7F6C" w:rsidRDefault="00A31284" w:rsidP="00A31284">
      <w:pPr>
        <w:jc w:val="both"/>
        <w:rPr>
          <w:rFonts w:ascii="Arial" w:hAnsi="Arial" w:cs="Arial"/>
          <w:sz w:val="23"/>
          <w:szCs w:val="23"/>
          <w:lang w:val="ca-ES"/>
        </w:rPr>
      </w:pPr>
      <w:r w:rsidRPr="003F7F6C">
        <w:rPr>
          <w:rFonts w:ascii="Arial" w:hAnsi="Arial" w:cs="Arial"/>
          <w:b/>
          <w:sz w:val="23"/>
          <w:szCs w:val="23"/>
          <w:lang w:val="ca-ES"/>
        </w:rPr>
        <w:t xml:space="preserve">Clàusula </w:t>
      </w:r>
      <w:r w:rsidR="00756CA4" w:rsidRPr="003F7F6C">
        <w:rPr>
          <w:rFonts w:ascii="Arial" w:hAnsi="Arial" w:cs="Arial"/>
          <w:b/>
          <w:sz w:val="23"/>
          <w:szCs w:val="23"/>
          <w:lang w:val="ca-ES"/>
        </w:rPr>
        <w:t>primera</w:t>
      </w:r>
      <w:r w:rsidR="00D46673">
        <w:rPr>
          <w:rFonts w:ascii="Arial" w:hAnsi="Arial" w:cs="Arial"/>
          <w:sz w:val="23"/>
          <w:szCs w:val="23"/>
          <w:lang w:val="ca-ES"/>
        </w:rPr>
        <w:t>. Nomen hereu/</w:t>
      </w:r>
      <w:r w:rsidRPr="003F7F6C">
        <w:rPr>
          <w:rFonts w:ascii="Arial" w:hAnsi="Arial" w:cs="Arial"/>
          <w:sz w:val="23"/>
          <w:szCs w:val="23"/>
          <w:lang w:val="ca-ES"/>
        </w:rPr>
        <w:t xml:space="preserve">va </w:t>
      </w:r>
      <w:r w:rsidR="00756CA4" w:rsidRPr="003F7F6C">
        <w:rPr>
          <w:rFonts w:ascii="Arial" w:hAnsi="Arial" w:cs="Arial"/>
          <w:sz w:val="23"/>
          <w:szCs w:val="23"/>
          <w:lang w:val="ca-ES"/>
        </w:rPr>
        <w:t>universal</w:t>
      </w:r>
      <w:r w:rsidR="00D46673">
        <w:rPr>
          <w:rFonts w:ascii="Arial" w:hAnsi="Arial" w:cs="Arial"/>
          <w:sz w:val="23"/>
          <w:szCs w:val="23"/>
          <w:lang w:val="ca-ES"/>
        </w:rPr>
        <w:t xml:space="preserve"> el Sr./Sra.</w:t>
      </w:r>
      <w:r w:rsidRPr="003F7F6C">
        <w:rPr>
          <w:rFonts w:ascii="Arial" w:hAnsi="Arial" w:cs="Arial"/>
          <w:sz w:val="23"/>
          <w:szCs w:val="23"/>
          <w:lang w:val="ca-ES"/>
        </w:rPr>
        <w:t xml:space="preserve"> </w:t>
      </w:r>
      <w:r w:rsidR="001F0D76" w:rsidRPr="003F7F6C">
        <w:rPr>
          <w:rFonts w:ascii="Arial" w:hAnsi="Arial" w:cs="Arial"/>
          <w:sz w:val="23"/>
          <w:szCs w:val="23"/>
          <w:lang w:val="ca-ES"/>
        </w:rPr>
        <w:t>................ .</w:t>
      </w:r>
    </w:p>
    <w:p w14:paraId="3D3FEB4F" w14:textId="25570343" w:rsidR="00756CA4" w:rsidRPr="003F7F6C" w:rsidRDefault="00756CA4" w:rsidP="00A31284">
      <w:pPr>
        <w:jc w:val="both"/>
        <w:rPr>
          <w:rFonts w:ascii="Arial" w:hAnsi="Arial" w:cs="Arial"/>
          <w:i/>
          <w:sz w:val="23"/>
          <w:szCs w:val="23"/>
          <w:lang w:val="ca-ES"/>
        </w:rPr>
      </w:pPr>
      <w:r w:rsidRPr="003F7F6C">
        <w:rPr>
          <w:rFonts w:ascii="Arial" w:hAnsi="Arial" w:cs="Arial"/>
          <w:b/>
          <w:sz w:val="23"/>
          <w:szCs w:val="23"/>
          <w:lang w:val="ca-ES"/>
        </w:rPr>
        <w:t xml:space="preserve">Clàusula segona </w:t>
      </w:r>
      <w:r w:rsidRPr="00B64DC7">
        <w:rPr>
          <w:rFonts w:ascii="Arial" w:hAnsi="Arial" w:cs="Arial"/>
          <w:bCs/>
          <w:sz w:val="23"/>
          <w:szCs w:val="23"/>
          <w:lang w:val="ca-ES"/>
        </w:rPr>
        <w:t>(</w:t>
      </w:r>
      <w:r w:rsidR="008B0E0C" w:rsidRPr="00B64DC7">
        <w:rPr>
          <w:rFonts w:ascii="Arial" w:hAnsi="Arial" w:cs="Arial"/>
          <w:bCs/>
          <w:i/>
          <w:iCs/>
          <w:sz w:val="23"/>
          <w:szCs w:val="23"/>
          <w:lang w:val="ca-ES"/>
        </w:rPr>
        <w:t>autorització del testador a l’hereu perquè pugui pagar la llegítima en doblers</w:t>
      </w:r>
      <w:r w:rsidRPr="00B64DC7">
        <w:rPr>
          <w:rFonts w:ascii="Arial" w:hAnsi="Arial" w:cs="Arial"/>
          <w:bCs/>
          <w:sz w:val="23"/>
          <w:szCs w:val="23"/>
          <w:lang w:val="ca-ES"/>
        </w:rPr>
        <w:t>)</w:t>
      </w:r>
      <w:r w:rsidR="00D46673">
        <w:rPr>
          <w:rFonts w:ascii="Arial" w:hAnsi="Arial" w:cs="Arial"/>
          <w:bCs/>
          <w:sz w:val="23"/>
          <w:szCs w:val="23"/>
          <w:lang w:val="ca-ES"/>
        </w:rPr>
        <w:t>.</w:t>
      </w:r>
      <w:r w:rsidRPr="003F7F6C">
        <w:rPr>
          <w:rFonts w:ascii="Arial" w:hAnsi="Arial" w:cs="Arial"/>
          <w:b/>
          <w:sz w:val="23"/>
          <w:szCs w:val="23"/>
          <w:lang w:val="ca-ES"/>
        </w:rPr>
        <w:t xml:space="preserve"> </w:t>
      </w:r>
      <w:r w:rsidR="00D46673">
        <w:rPr>
          <w:rFonts w:ascii="Arial" w:hAnsi="Arial" w:cs="Arial"/>
          <w:sz w:val="23"/>
          <w:szCs w:val="23"/>
          <w:lang w:val="ca-ES"/>
        </w:rPr>
        <w:t>Autoritzo l’hereu/</w:t>
      </w:r>
      <w:r w:rsidR="00556E24">
        <w:rPr>
          <w:rFonts w:ascii="Arial" w:hAnsi="Arial" w:cs="Arial"/>
          <w:sz w:val="23"/>
          <w:szCs w:val="23"/>
          <w:lang w:val="ca-ES"/>
        </w:rPr>
        <w:t xml:space="preserve">va </w:t>
      </w:r>
      <w:r w:rsidR="00D46673">
        <w:rPr>
          <w:rFonts w:ascii="Arial" w:hAnsi="Arial" w:cs="Arial"/>
          <w:sz w:val="23"/>
          <w:szCs w:val="23"/>
          <w:lang w:val="ca-ES"/>
        </w:rPr>
        <w:t xml:space="preserve">perquè pugui pagar </w:t>
      </w:r>
      <w:r w:rsidR="00556E24">
        <w:rPr>
          <w:rFonts w:ascii="Arial" w:hAnsi="Arial" w:cs="Arial"/>
          <w:sz w:val="23"/>
          <w:szCs w:val="23"/>
          <w:lang w:val="ca-ES"/>
        </w:rPr>
        <w:t>la llegítima del</w:t>
      </w:r>
      <w:r w:rsidR="00D46673">
        <w:rPr>
          <w:rFonts w:ascii="Arial" w:hAnsi="Arial" w:cs="Arial"/>
          <w:sz w:val="23"/>
          <w:szCs w:val="23"/>
          <w:lang w:val="ca-ES"/>
        </w:rPr>
        <w:t xml:space="preserve"> Sr./Sra. </w:t>
      </w:r>
      <w:r w:rsidR="00D46673" w:rsidRPr="003F7F6C">
        <w:rPr>
          <w:rFonts w:ascii="Arial" w:hAnsi="Arial" w:cs="Arial"/>
          <w:sz w:val="23"/>
          <w:szCs w:val="23"/>
          <w:lang w:val="ca-ES"/>
        </w:rPr>
        <w:t xml:space="preserve">................ </w:t>
      </w:r>
      <w:r w:rsidRPr="003F7F6C">
        <w:rPr>
          <w:rFonts w:ascii="Arial" w:hAnsi="Arial" w:cs="Arial"/>
          <w:sz w:val="23"/>
          <w:szCs w:val="23"/>
          <w:lang w:val="ca-ES"/>
        </w:rPr>
        <w:t>(</w:t>
      </w:r>
      <w:r w:rsidRPr="003F7F6C">
        <w:rPr>
          <w:rFonts w:ascii="Arial" w:hAnsi="Arial" w:cs="Arial"/>
          <w:i/>
          <w:sz w:val="23"/>
          <w:szCs w:val="23"/>
          <w:lang w:val="ca-ES"/>
        </w:rPr>
        <w:t xml:space="preserve">identifiqueu </w:t>
      </w:r>
      <w:r w:rsidR="00D46673">
        <w:rPr>
          <w:rFonts w:ascii="Arial" w:hAnsi="Arial" w:cs="Arial"/>
          <w:i/>
          <w:sz w:val="23"/>
          <w:szCs w:val="23"/>
          <w:lang w:val="ca-ES"/>
        </w:rPr>
        <w:t>la persona</w:t>
      </w:r>
      <w:r w:rsidRPr="003F7F6C">
        <w:rPr>
          <w:rFonts w:ascii="Arial" w:hAnsi="Arial" w:cs="Arial"/>
          <w:i/>
          <w:sz w:val="23"/>
          <w:szCs w:val="23"/>
          <w:lang w:val="ca-ES"/>
        </w:rPr>
        <w:t xml:space="preserve"> leg</w:t>
      </w:r>
      <w:r w:rsidR="00556E24">
        <w:rPr>
          <w:rFonts w:ascii="Arial" w:hAnsi="Arial" w:cs="Arial"/>
          <w:i/>
          <w:sz w:val="23"/>
          <w:szCs w:val="23"/>
          <w:lang w:val="ca-ES"/>
        </w:rPr>
        <w:t>itimària</w:t>
      </w:r>
      <w:r w:rsidR="00D46673" w:rsidRPr="003F7F6C">
        <w:rPr>
          <w:rFonts w:ascii="Arial" w:hAnsi="Arial" w:cs="Arial"/>
          <w:sz w:val="23"/>
          <w:szCs w:val="23"/>
          <w:lang w:val="ca-ES"/>
        </w:rPr>
        <w:t>)</w:t>
      </w:r>
      <w:r w:rsidR="00807C16" w:rsidRPr="003F7F6C">
        <w:rPr>
          <w:rStyle w:val="Refdenotaalfinal"/>
          <w:rFonts w:ascii="Arial" w:hAnsi="Arial" w:cs="Arial"/>
          <w:b/>
          <w:bCs/>
          <w:color w:val="00B0F0"/>
          <w:sz w:val="23"/>
          <w:szCs w:val="23"/>
          <w:lang w:val="ca-ES"/>
        </w:rPr>
        <w:endnoteReference w:id="4"/>
      </w:r>
      <w:r w:rsidR="007A1C73">
        <w:rPr>
          <w:rFonts w:ascii="Arial" w:hAnsi="Arial" w:cs="Arial"/>
          <w:sz w:val="23"/>
          <w:szCs w:val="23"/>
          <w:lang w:val="ca-ES"/>
        </w:rPr>
        <w:t xml:space="preserve"> en doblers encara que no n’hi hagi a l’herència</w:t>
      </w:r>
      <w:r w:rsidR="00D46673">
        <w:rPr>
          <w:rFonts w:ascii="Arial" w:hAnsi="Arial" w:cs="Arial"/>
          <w:sz w:val="23"/>
          <w:szCs w:val="23"/>
          <w:lang w:val="ca-ES"/>
        </w:rPr>
        <w:t>.</w:t>
      </w:r>
      <w:r w:rsidR="00FF57E3" w:rsidRPr="003F7F6C">
        <w:rPr>
          <w:rStyle w:val="Refdenotaalfinal"/>
          <w:rFonts w:ascii="Arial" w:hAnsi="Arial" w:cs="Arial"/>
          <w:b/>
          <w:bCs/>
          <w:color w:val="00B0F0"/>
          <w:sz w:val="23"/>
          <w:szCs w:val="23"/>
          <w:lang w:val="ca-ES"/>
        </w:rPr>
        <w:endnoteReference w:id="5"/>
      </w:r>
    </w:p>
    <w:p w14:paraId="1624F3C4" w14:textId="77777777" w:rsidR="00D46673" w:rsidRDefault="00D46673" w:rsidP="00A31284">
      <w:pPr>
        <w:spacing w:line="360" w:lineRule="atLeast"/>
        <w:jc w:val="both"/>
        <w:rPr>
          <w:rFonts w:ascii="Arial" w:hAnsi="Arial" w:cs="Arial"/>
          <w:sz w:val="23"/>
          <w:szCs w:val="23"/>
          <w:lang w:val="ca-ES"/>
        </w:rPr>
      </w:pPr>
    </w:p>
    <w:p w14:paraId="7D71C57A" w14:textId="77777777" w:rsidR="00A31284" w:rsidRPr="003F7F6C" w:rsidRDefault="00A31284" w:rsidP="00A31284">
      <w:pPr>
        <w:spacing w:line="360" w:lineRule="atLeast"/>
        <w:jc w:val="both"/>
        <w:rPr>
          <w:rFonts w:ascii="Arial" w:hAnsi="Arial" w:cs="Arial"/>
          <w:sz w:val="23"/>
          <w:szCs w:val="23"/>
          <w:lang w:val="ca-ES"/>
        </w:rPr>
      </w:pPr>
      <w:r w:rsidRPr="003F7F6C">
        <w:rPr>
          <w:rFonts w:ascii="Arial" w:hAnsi="Arial" w:cs="Arial"/>
          <w:sz w:val="23"/>
          <w:szCs w:val="23"/>
          <w:lang w:val="ca-ES"/>
        </w:rPr>
        <w:t>..............., ....... de/d’................. de ..............</w:t>
      </w:r>
    </w:p>
    <w:p w14:paraId="16E612B4" w14:textId="77777777" w:rsidR="006200DF" w:rsidRDefault="006200DF" w:rsidP="00467625">
      <w:pPr>
        <w:rPr>
          <w:rFonts w:ascii="Arial" w:hAnsi="Arial" w:cs="Arial"/>
          <w:i/>
          <w:sz w:val="23"/>
          <w:szCs w:val="23"/>
          <w:lang w:val="ca-ES"/>
        </w:rPr>
      </w:pPr>
    </w:p>
    <w:p w14:paraId="22A85230" w14:textId="77777777" w:rsidR="00D46673" w:rsidRDefault="00D46673" w:rsidP="00467625">
      <w:pPr>
        <w:rPr>
          <w:rFonts w:ascii="Arial" w:hAnsi="Arial" w:cs="Arial"/>
          <w:i/>
          <w:sz w:val="23"/>
          <w:szCs w:val="23"/>
          <w:lang w:val="ca-ES"/>
        </w:rPr>
      </w:pPr>
    </w:p>
    <w:p w14:paraId="2BE50E06" w14:textId="20724FCC" w:rsidR="00A31284" w:rsidRPr="003F7F6C" w:rsidRDefault="00A31284" w:rsidP="00467625">
      <w:pPr>
        <w:rPr>
          <w:rFonts w:ascii="Arial" w:hAnsi="Arial" w:cs="Arial"/>
          <w:i/>
          <w:sz w:val="23"/>
          <w:szCs w:val="23"/>
          <w:lang w:val="ca-ES"/>
        </w:rPr>
      </w:pPr>
      <w:r w:rsidRPr="003F7F6C">
        <w:rPr>
          <w:rFonts w:ascii="Arial" w:hAnsi="Arial" w:cs="Arial"/>
          <w:i/>
          <w:sz w:val="23"/>
          <w:szCs w:val="23"/>
          <w:lang w:val="ca-ES"/>
        </w:rPr>
        <w:t>(signatura del testador</w:t>
      </w:r>
      <w:r w:rsidR="006200DF">
        <w:rPr>
          <w:rFonts w:ascii="Arial" w:hAnsi="Arial" w:cs="Arial"/>
          <w:i/>
          <w:sz w:val="23"/>
          <w:szCs w:val="23"/>
          <w:lang w:val="ca-ES"/>
        </w:rPr>
        <w:t>/a</w:t>
      </w:r>
      <w:r w:rsidRPr="003F7F6C">
        <w:rPr>
          <w:rFonts w:ascii="Arial" w:hAnsi="Arial" w:cs="Arial"/>
          <w:i/>
          <w:sz w:val="23"/>
          <w:szCs w:val="23"/>
          <w:lang w:val="ca-ES"/>
        </w:rPr>
        <w:t>)</w:t>
      </w:r>
    </w:p>
    <w:p w14:paraId="408DBC36" w14:textId="77777777" w:rsidR="001F0D76" w:rsidRPr="003F7F6C" w:rsidRDefault="001F0D76" w:rsidP="00A31284">
      <w:pPr>
        <w:jc w:val="both"/>
        <w:rPr>
          <w:rFonts w:ascii="Arial" w:hAnsi="Arial" w:cs="Arial"/>
          <w:b/>
          <w:sz w:val="23"/>
          <w:szCs w:val="23"/>
          <w:lang w:val="ca-ES"/>
        </w:rPr>
      </w:pPr>
    </w:p>
    <w:p w14:paraId="28580AEE" w14:textId="77777777" w:rsidR="00A31284" w:rsidRPr="003F7F6C" w:rsidRDefault="00A31284" w:rsidP="00A31284">
      <w:pPr>
        <w:rPr>
          <w:rFonts w:ascii="Arial" w:hAnsi="Arial" w:cs="Arial"/>
          <w:sz w:val="23"/>
          <w:szCs w:val="23"/>
          <w:lang w:val="ca-ES"/>
        </w:rPr>
      </w:pPr>
    </w:p>
    <w:sectPr w:rsidR="00A31284" w:rsidRPr="003F7F6C"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78A5" w14:textId="77777777" w:rsidR="00D46673" w:rsidRDefault="00D46673" w:rsidP="000913F7">
      <w:pPr>
        <w:spacing w:after="0" w:line="240" w:lineRule="auto"/>
      </w:pPr>
      <w:r>
        <w:separator/>
      </w:r>
    </w:p>
  </w:endnote>
  <w:endnote w:type="continuationSeparator" w:id="0">
    <w:p w14:paraId="4D913AC5" w14:textId="77777777" w:rsidR="00D46673" w:rsidRDefault="00D46673" w:rsidP="000913F7">
      <w:pPr>
        <w:spacing w:after="0" w:line="240" w:lineRule="auto"/>
      </w:pPr>
      <w:r>
        <w:continuationSeparator/>
      </w:r>
    </w:p>
  </w:endnote>
  <w:endnote w:id="1">
    <w:p w14:paraId="2CDB5D00" w14:textId="6F0D8326" w:rsidR="00D46673" w:rsidRPr="00D86CB6" w:rsidRDefault="00D46673" w:rsidP="005C2FEF">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Pr>
          <w:rFonts w:ascii="Arial" w:hAnsi="Arial" w:cs="Arial"/>
          <w:i/>
          <w:iCs/>
          <w:sz w:val="20"/>
          <w:szCs w:val="20"/>
          <w:lang w:val="ca-ES"/>
        </w:rPr>
        <w:t xml:space="preserve"> </w:t>
      </w:r>
      <w:r w:rsidRPr="00D86CB6">
        <w:rPr>
          <w:rFonts w:ascii="Arial" w:hAnsi="Arial" w:cs="Arial"/>
          <w:i/>
          <w:iCs/>
          <w:sz w:val="20"/>
          <w:szCs w:val="20"/>
          <w:lang w:val="ca-ES"/>
        </w:rPr>
        <w:t>El testament hològraf ha d’estar completament redactat a mà pe</w:t>
      </w:r>
      <w:r>
        <w:rPr>
          <w:rFonts w:ascii="Arial" w:hAnsi="Arial" w:cs="Arial"/>
          <w:i/>
          <w:iCs/>
          <w:sz w:val="20"/>
          <w:szCs w:val="20"/>
          <w:lang w:val="ca-ES"/>
        </w:rPr>
        <w:t xml:space="preserve">l </w:t>
      </w:r>
      <w:r w:rsidRPr="00D86CB6">
        <w:rPr>
          <w:rFonts w:ascii="Arial" w:hAnsi="Arial" w:cs="Arial"/>
          <w:i/>
          <w:iCs/>
          <w:sz w:val="20"/>
          <w:szCs w:val="20"/>
          <w:lang w:val="ca-ES"/>
        </w:rPr>
        <w:t>testador</w:t>
      </w:r>
      <w:r>
        <w:rPr>
          <w:rFonts w:ascii="Arial" w:hAnsi="Arial" w:cs="Arial"/>
          <w:i/>
          <w:iCs/>
          <w:sz w:val="20"/>
          <w:szCs w:val="20"/>
          <w:lang w:val="ca-ES"/>
        </w:rPr>
        <w:t>, qui l’ha de</w:t>
      </w:r>
      <w:r w:rsidRPr="00D86CB6">
        <w:rPr>
          <w:rFonts w:ascii="Arial" w:hAnsi="Arial" w:cs="Arial"/>
          <w:i/>
          <w:iCs/>
          <w:sz w:val="20"/>
          <w:szCs w:val="20"/>
          <w:lang w:val="ca-ES"/>
        </w:rPr>
        <w:t xml:space="preserve"> signa</w:t>
      </w:r>
      <w:r>
        <w:rPr>
          <w:rFonts w:ascii="Arial" w:hAnsi="Arial" w:cs="Arial"/>
          <w:i/>
          <w:iCs/>
          <w:sz w:val="20"/>
          <w:szCs w:val="20"/>
          <w:lang w:val="ca-ES"/>
        </w:rPr>
        <w:t>r</w:t>
      </w:r>
      <w:r w:rsidRPr="00D86CB6">
        <w:rPr>
          <w:rFonts w:ascii="Arial" w:hAnsi="Arial" w:cs="Arial"/>
          <w:i/>
          <w:iCs/>
          <w:sz w:val="20"/>
          <w:szCs w:val="20"/>
          <w:lang w:val="ca-ES"/>
        </w:rPr>
        <w:t xml:space="preserve"> amb expressió del dia, mes i any en que </w:t>
      </w:r>
      <w:r>
        <w:rPr>
          <w:rFonts w:ascii="Arial" w:hAnsi="Arial" w:cs="Arial"/>
          <w:i/>
          <w:iCs/>
          <w:sz w:val="20"/>
          <w:szCs w:val="20"/>
          <w:lang w:val="ca-ES"/>
        </w:rPr>
        <w:t>l</w:t>
      </w:r>
      <w:r w:rsidRPr="00D86CB6">
        <w:rPr>
          <w:rFonts w:ascii="Arial" w:hAnsi="Arial" w:cs="Arial"/>
          <w:i/>
          <w:iCs/>
          <w:sz w:val="20"/>
          <w:szCs w:val="20"/>
          <w:lang w:val="ca-ES"/>
        </w:rPr>
        <w:t>’atorgui; en canvi, el testament tancat pot ser escrit a mà o per qualsevol mitjà tècnic, inclús pot estar redactat per un</w:t>
      </w:r>
      <w:r>
        <w:rPr>
          <w:rFonts w:ascii="Arial" w:hAnsi="Arial" w:cs="Arial"/>
          <w:i/>
          <w:iCs/>
          <w:sz w:val="20"/>
          <w:szCs w:val="20"/>
          <w:lang w:val="ca-ES"/>
        </w:rPr>
        <w:t>a</w:t>
      </w:r>
      <w:r w:rsidRPr="00D86CB6">
        <w:rPr>
          <w:rFonts w:ascii="Arial" w:hAnsi="Arial" w:cs="Arial"/>
          <w:i/>
          <w:iCs/>
          <w:sz w:val="20"/>
          <w:szCs w:val="20"/>
          <w:lang w:val="ca-ES"/>
        </w:rPr>
        <w:t xml:space="preserve"> tercer</w:t>
      </w:r>
      <w:r>
        <w:rPr>
          <w:rFonts w:ascii="Arial" w:hAnsi="Arial" w:cs="Arial"/>
          <w:i/>
          <w:iCs/>
          <w:sz w:val="20"/>
          <w:szCs w:val="20"/>
          <w:lang w:val="ca-ES"/>
        </w:rPr>
        <w:t>a persona</w:t>
      </w:r>
      <w:r w:rsidRPr="00D86CB6">
        <w:rPr>
          <w:rFonts w:ascii="Arial" w:hAnsi="Arial" w:cs="Arial"/>
          <w:i/>
          <w:iCs/>
          <w:sz w:val="20"/>
          <w:szCs w:val="20"/>
          <w:lang w:val="ca-ES"/>
        </w:rPr>
        <w:t xml:space="preserve">, però sempre respectant les formalitats previstes als articles 706 i següents del Codi </w:t>
      </w:r>
      <w:r>
        <w:rPr>
          <w:rFonts w:ascii="Arial" w:hAnsi="Arial" w:cs="Arial"/>
          <w:i/>
          <w:iCs/>
          <w:sz w:val="20"/>
          <w:szCs w:val="20"/>
          <w:lang w:val="ca-ES"/>
        </w:rPr>
        <w:t>c</w:t>
      </w:r>
      <w:r w:rsidRPr="00D86CB6">
        <w:rPr>
          <w:rFonts w:ascii="Arial" w:hAnsi="Arial" w:cs="Arial"/>
          <w:i/>
          <w:iCs/>
          <w:sz w:val="20"/>
          <w:szCs w:val="20"/>
          <w:lang w:val="ca-ES"/>
        </w:rPr>
        <w:t>ivil.</w:t>
      </w:r>
    </w:p>
  </w:endnote>
  <w:endnote w:id="2">
    <w:p w14:paraId="74640899" w14:textId="1F5B4A88" w:rsidR="00D46673" w:rsidRPr="00D86CB6" w:rsidRDefault="00D46673" w:rsidP="00491AC8">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Pr="00D86CB6">
        <w:rPr>
          <w:rFonts w:ascii="Arial" w:hAnsi="Arial" w:cs="Arial"/>
          <w:i/>
          <w:iCs/>
          <w:sz w:val="20"/>
          <w:szCs w:val="20"/>
          <w:lang w:val="ca-ES"/>
        </w:rPr>
        <w:t xml:space="preserve">La quarta falcídia és un dret que tenen els hereus per sol·licitar la reducció de llegats quan la suma dels seus valors fa que els instituïts </w:t>
      </w:r>
      <w:r>
        <w:rPr>
          <w:rFonts w:ascii="Arial" w:hAnsi="Arial" w:cs="Arial"/>
          <w:i/>
          <w:iCs/>
          <w:sz w:val="20"/>
          <w:szCs w:val="20"/>
          <w:lang w:val="ca-ES"/>
        </w:rPr>
        <w:t>hereus no rebin (entre tots) al</w:t>
      </w:r>
      <w:r w:rsidRPr="00D86CB6">
        <w:rPr>
          <w:rFonts w:ascii="Arial" w:hAnsi="Arial" w:cs="Arial"/>
          <w:i/>
          <w:iCs/>
          <w:sz w:val="20"/>
          <w:szCs w:val="20"/>
          <w:lang w:val="ca-ES"/>
        </w:rPr>
        <w:t xml:space="preserve">menys la quarta part de l’actiu hereditari líquid. </w:t>
      </w:r>
      <w:r>
        <w:rPr>
          <w:rFonts w:ascii="Arial" w:hAnsi="Arial" w:cs="Arial"/>
          <w:i/>
          <w:iCs/>
          <w:sz w:val="20"/>
          <w:szCs w:val="20"/>
          <w:lang w:val="ca-ES"/>
        </w:rPr>
        <w:t>Disposa l’article</w:t>
      </w:r>
      <w:r w:rsidRPr="00D86CB6">
        <w:rPr>
          <w:rFonts w:ascii="Arial" w:hAnsi="Arial" w:cs="Arial"/>
          <w:i/>
          <w:iCs/>
          <w:sz w:val="20"/>
          <w:szCs w:val="20"/>
          <w:lang w:val="ca-ES"/>
        </w:rPr>
        <w:t xml:space="preserve"> 38, primer paràgraf, del Decret legislatiu 79/1990, de 6 de setembre, pel qual s’aprova el t</w:t>
      </w:r>
      <w:r>
        <w:rPr>
          <w:rFonts w:ascii="Arial" w:hAnsi="Arial" w:cs="Arial"/>
          <w:i/>
          <w:iCs/>
          <w:sz w:val="20"/>
          <w:szCs w:val="20"/>
          <w:lang w:val="ca-ES"/>
        </w:rPr>
        <w:t>ext refós de la Compilació del d</w:t>
      </w:r>
      <w:r w:rsidRPr="00D86CB6">
        <w:rPr>
          <w:rFonts w:ascii="Arial" w:hAnsi="Arial" w:cs="Arial"/>
          <w:i/>
          <w:iCs/>
          <w:sz w:val="20"/>
          <w:szCs w:val="20"/>
          <w:lang w:val="ca-ES"/>
        </w:rPr>
        <w:t xml:space="preserve">ret </w:t>
      </w:r>
      <w:r>
        <w:rPr>
          <w:rFonts w:ascii="Arial" w:hAnsi="Arial" w:cs="Arial"/>
          <w:i/>
          <w:iCs/>
          <w:sz w:val="20"/>
          <w:szCs w:val="20"/>
          <w:lang w:val="ca-ES"/>
        </w:rPr>
        <w:t>c</w:t>
      </w:r>
      <w:r w:rsidRPr="00D86CB6">
        <w:rPr>
          <w:rFonts w:ascii="Arial" w:hAnsi="Arial" w:cs="Arial"/>
          <w:i/>
          <w:iCs/>
          <w:sz w:val="20"/>
          <w:szCs w:val="20"/>
          <w:lang w:val="ca-ES"/>
        </w:rPr>
        <w:t>ivil de les Illes Balears (</w:t>
      </w:r>
      <w:hyperlink r:id="rId1" w:history="1">
        <w:r w:rsidR="00D1235A"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w:t>
      </w:r>
      <w:r>
        <w:rPr>
          <w:rFonts w:ascii="Arial" w:hAnsi="Arial" w:cs="Arial"/>
          <w:i/>
          <w:iCs/>
          <w:sz w:val="20"/>
          <w:szCs w:val="20"/>
          <w:lang w:val="ca-ES"/>
        </w:rPr>
        <w:t>: “</w:t>
      </w:r>
      <w:r w:rsidRPr="00D86CB6">
        <w:rPr>
          <w:rFonts w:ascii="Arial" w:hAnsi="Arial" w:cs="Arial"/>
          <w:i/>
          <w:iCs/>
          <w:sz w:val="20"/>
          <w:szCs w:val="20"/>
          <w:lang w:val="ca-ES"/>
        </w:rPr>
        <w:t>L'hereu a qui, per raó dels llegats, no quedi lliure la quarta part de l'actiu hereditari líquid, podrà, tret de disposició contrària del testador, reclamar aquesta part. Amb aquesta finalitat es reduiran en la proporció necessària els llegats, i l’hereu els podrà retenir fins que aquella no li hagi estat satisfeta</w:t>
      </w:r>
      <w:r>
        <w:rPr>
          <w:rFonts w:ascii="Arial" w:hAnsi="Arial" w:cs="Arial"/>
          <w:i/>
          <w:iCs/>
          <w:sz w:val="20"/>
          <w:szCs w:val="20"/>
          <w:lang w:val="ca-ES"/>
        </w:rPr>
        <w:t>”.</w:t>
      </w:r>
    </w:p>
    <w:p w14:paraId="06B956C3" w14:textId="53142BA2" w:rsidR="00D46673" w:rsidRPr="00D86CB6" w:rsidRDefault="00D46673" w:rsidP="00491AC8">
      <w:pPr>
        <w:jc w:val="both"/>
        <w:rPr>
          <w:rFonts w:ascii="Arial" w:hAnsi="Arial" w:cs="Arial"/>
          <w:i/>
          <w:iCs/>
          <w:sz w:val="20"/>
          <w:szCs w:val="20"/>
          <w:lang w:val="ca-ES"/>
        </w:rPr>
      </w:pPr>
      <w:r w:rsidRPr="00D86CB6">
        <w:rPr>
          <w:rFonts w:ascii="Arial" w:hAnsi="Arial" w:cs="Arial"/>
          <w:i/>
          <w:iCs/>
          <w:sz w:val="20"/>
          <w:szCs w:val="20"/>
          <w:lang w:val="ca-ES"/>
        </w:rPr>
        <w:t xml:space="preserve">Aquest dret només el pot (poden) exercir el primer (els primers) adquirent(s) de l’herència: </w:t>
      </w:r>
      <w:r>
        <w:rPr>
          <w:rFonts w:ascii="Arial" w:hAnsi="Arial" w:cs="Arial"/>
          <w:i/>
          <w:iCs/>
          <w:sz w:val="20"/>
          <w:szCs w:val="20"/>
          <w:lang w:val="ca-ES"/>
        </w:rPr>
        <w:t>“</w:t>
      </w:r>
      <w:r w:rsidRPr="00D86CB6">
        <w:rPr>
          <w:rFonts w:ascii="Arial" w:hAnsi="Arial" w:cs="Arial"/>
          <w:i/>
          <w:iCs/>
          <w:sz w:val="20"/>
          <w:szCs w:val="20"/>
          <w:lang w:val="ca-ES"/>
        </w:rPr>
        <w:t>Solament podrà exercitar aquest dret l'hereu que pri</w:t>
      </w:r>
      <w:r>
        <w:rPr>
          <w:rFonts w:ascii="Arial" w:hAnsi="Arial" w:cs="Arial"/>
          <w:i/>
          <w:iCs/>
          <w:sz w:val="20"/>
          <w:szCs w:val="20"/>
          <w:lang w:val="ca-ES"/>
        </w:rPr>
        <w:t>merament adquireixi l'herència”</w:t>
      </w:r>
      <w:r w:rsidRPr="00D86CB6">
        <w:rPr>
          <w:rFonts w:ascii="Arial" w:hAnsi="Arial" w:cs="Arial"/>
          <w:i/>
          <w:iCs/>
          <w:sz w:val="20"/>
          <w:szCs w:val="20"/>
          <w:lang w:val="ca-ES"/>
        </w:rPr>
        <w:t xml:space="preserve"> (article 38, segon paràgraf, </w:t>
      </w:r>
      <w:hyperlink r:id="rId2" w:history="1">
        <w:r w:rsidR="00D1235A"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 xml:space="preserve">). Per exemple, com se destaca en la doctrina, un substitut vulgar que ha adquirit l’herència sí </w:t>
      </w:r>
      <w:r w:rsidR="001D0217">
        <w:rPr>
          <w:rFonts w:ascii="Arial" w:hAnsi="Arial" w:cs="Arial"/>
          <w:i/>
          <w:iCs/>
          <w:sz w:val="20"/>
          <w:szCs w:val="20"/>
          <w:lang w:val="ca-ES"/>
        </w:rPr>
        <w:t xml:space="preserve">que </w:t>
      </w:r>
      <w:r w:rsidRPr="00D86CB6">
        <w:rPr>
          <w:rFonts w:ascii="Arial" w:hAnsi="Arial" w:cs="Arial"/>
          <w:i/>
          <w:iCs/>
          <w:sz w:val="20"/>
          <w:szCs w:val="20"/>
          <w:lang w:val="ca-ES"/>
        </w:rPr>
        <w:t>podria tenir aquest dret si és el primer que l’adquireix, però no un hereu fideïcomissari, ja que el primer adquirent és l’hereu fiduciari.</w:t>
      </w:r>
    </w:p>
    <w:p w14:paraId="4DC298DF" w14:textId="1DF4C891" w:rsidR="00D46673" w:rsidRPr="00D86CB6" w:rsidRDefault="00D46673" w:rsidP="00491AC8">
      <w:pPr>
        <w:jc w:val="both"/>
        <w:rPr>
          <w:rFonts w:ascii="Arial" w:hAnsi="Arial" w:cs="Arial"/>
          <w:i/>
          <w:iCs/>
          <w:sz w:val="20"/>
          <w:szCs w:val="20"/>
          <w:lang w:val="ca-ES"/>
        </w:rPr>
      </w:pPr>
      <w:r>
        <w:rPr>
          <w:rFonts w:ascii="Arial" w:hAnsi="Arial" w:cs="Arial"/>
          <w:i/>
          <w:iCs/>
          <w:sz w:val="20"/>
          <w:szCs w:val="20"/>
          <w:lang w:val="ca-ES"/>
        </w:rPr>
        <w:t>“</w:t>
      </w:r>
      <w:r w:rsidRPr="00D86CB6">
        <w:rPr>
          <w:rFonts w:ascii="Arial" w:hAnsi="Arial" w:cs="Arial"/>
          <w:i/>
          <w:iCs/>
          <w:sz w:val="20"/>
          <w:szCs w:val="20"/>
          <w:lang w:val="ca-ES"/>
        </w:rPr>
        <w:t>Per fixar la falcídia es detrauran les despeses ocasionades per la mort i l</w:t>
      </w:r>
      <w:r w:rsidR="001D0217">
        <w:rPr>
          <w:rFonts w:ascii="Arial" w:hAnsi="Arial" w:cs="Arial"/>
          <w:i/>
          <w:iCs/>
          <w:sz w:val="20"/>
          <w:szCs w:val="20"/>
          <w:lang w:val="ca-ES"/>
        </w:rPr>
        <w:t>e</w:t>
      </w:r>
      <w:r w:rsidRPr="00D86CB6">
        <w:rPr>
          <w:rFonts w:ascii="Arial" w:hAnsi="Arial" w:cs="Arial"/>
          <w:i/>
          <w:iCs/>
          <w:sz w:val="20"/>
          <w:szCs w:val="20"/>
          <w:lang w:val="ca-ES"/>
        </w:rPr>
        <w:t>s d'inventari, així com els deutes i càrregues de l'herència i les l</w:t>
      </w:r>
      <w:r w:rsidR="001D0217">
        <w:rPr>
          <w:rFonts w:ascii="Arial" w:hAnsi="Arial" w:cs="Arial"/>
          <w:i/>
          <w:iCs/>
          <w:sz w:val="20"/>
          <w:szCs w:val="20"/>
          <w:lang w:val="ca-ES"/>
        </w:rPr>
        <w:t>l</w:t>
      </w:r>
      <w:r w:rsidRPr="00D86CB6">
        <w:rPr>
          <w:rFonts w:ascii="Arial" w:hAnsi="Arial" w:cs="Arial"/>
          <w:i/>
          <w:iCs/>
          <w:sz w:val="20"/>
          <w:szCs w:val="20"/>
          <w:lang w:val="ca-ES"/>
        </w:rPr>
        <w:t>egítimes, fins i tot la de l'hereu que sigui legitimari</w:t>
      </w:r>
      <w:r>
        <w:rPr>
          <w:rFonts w:ascii="Arial" w:hAnsi="Arial" w:cs="Arial"/>
          <w:i/>
          <w:iCs/>
          <w:sz w:val="20"/>
          <w:szCs w:val="20"/>
          <w:lang w:val="ca-ES"/>
        </w:rPr>
        <w:t>”</w:t>
      </w:r>
      <w:r w:rsidRPr="00D86CB6">
        <w:rPr>
          <w:rFonts w:ascii="Arial" w:hAnsi="Arial" w:cs="Arial"/>
          <w:i/>
          <w:iCs/>
          <w:sz w:val="20"/>
          <w:szCs w:val="20"/>
          <w:lang w:val="ca-ES"/>
        </w:rPr>
        <w:t xml:space="preserve"> (article 39, primer paràgraf, </w:t>
      </w:r>
      <w:hyperlink r:id="rId3" w:history="1">
        <w:r w:rsidR="00881102"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 xml:space="preserve">). Si l’hereu és a sobre legitimari, l’hereu tindrà dret a la quarta falcídia i a la seva llegítima (article 40, primer paràgraf, </w:t>
      </w:r>
      <w:hyperlink r:id="rId4" w:history="1">
        <w:r w:rsidR="00881102"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w:t>
      </w:r>
    </w:p>
    <w:p w14:paraId="20C60C6D" w14:textId="01888534" w:rsidR="00D46673" w:rsidRPr="00D86CB6" w:rsidRDefault="00D46673" w:rsidP="00491AC8">
      <w:pPr>
        <w:jc w:val="both"/>
        <w:rPr>
          <w:rFonts w:ascii="Arial" w:hAnsi="Arial" w:cs="Arial"/>
          <w:i/>
          <w:iCs/>
          <w:sz w:val="20"/>
          <w:szCs w:val="20"/>
          <w:lang w:val="ca-ES"/>
        </w:rPr>
      </w:pPr>
      <w:r w:rsidRPr="00D86CB6">
        <w:rPr>
          <w:rFonts w:ascii="Arial" w:hAnsi="Arial" w:cs="Arial"/>
          <w:i/>
          <w:iCs/>
          <w:sz w:val="20"/>
          <w:szCs w:val="20"/>
          <w:lang w:val="ca-ES"/>
        </w:rPr>
        <w:t xml:space="preserve">També és molt important tenir en compte que, d’acord amb l’article 38, tercer paràgraf, </w:t>
      </w:r>
      <w:hyperlink r:id="rId5" w:history="1">
        <w:r w:rsidR="00881102"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 xml:space="preserve">, per poder exercir aquest dret, </w:t>
      </w:r>
      <w:r>
        <w:rPr>
          <w:rFonts w:ascii="Arial" w:hAnsi="Arial" w:cs="Arial"/>
          <w:i/>
          <w:iCs/>
          <w:sz w:val="20"/>
          <w:szCs w:val="20"/>
          <w:lang w:val="ca-ES"/>
        </w:rPr>
        <w:t xml:space="preserve">els hereus </w:t>
      </w:r>
      <w:r w:rsidRPr="00D86CB6">
        <w:rPr>
          <w:rFonts w:ascii="Arial" w:hAnsi="Arial" w:cs="Arial"/>
          <w:i/>
          <w:iCs/>
          <w:sz w:val="20"/>
          <w:szCs w:val="20"/>
          <w:lang w:val="ca-ES"/>
        </w:rPr>
        <w:t>ha</w:t>
      </w:r>
      <w:r>
        <w:rPr>
          <w:rFonts w:ascii="Arial" w:hAnsi="Arial" w:cs="Arial"/>
          <w:i/>
          <w:iCs/>
          <w:sz w:val="20"/>
          <w:szCs w:val="20"/>
          <w:lang w:val="ca-ES"/>
        </w:rPr>
        <w:t>n</w:t>
      </w:r>
      <w:r w:rsidRPr="00D86CB6">
        <w:rPr>
          <w:rFonts w:ascii="Arial" w:hAnsi="Arial" w:cs="Arial"/>
          <w:i/>
          <w:iCs/>
          <w:sz w:val="20"/>
          <w:szCs w:val="20"/>
          <w:lang w:val="ca-ES"/>
        </w:rPr>
        <w:t xml:space="preserve"> de practicar inventari en el </w:t>
      </w:r>
      <w:r>
        <w:rPr>
          <w:rFonts w:ascii="Arial" w:hAnsi="Arial" w:cs="Arial"/>
          <w:i/>
          <w:iCs/>
          <w:sz w:val="20"/>
          <w:szCs w:val="20"/>
          <w:lang w:val="ca-ES"/>
        </w:rPr>
        <w:t>termini i</w:t>
      </w:r>
      <w:r w:rsidRPr="00D86CB6">
        <w:rPr>
          <w:rFonts w:ascii="Arial" w:hAnsi="Arial" w:cs="Arial"/>
          <w:i/>
          <w:iCs/>
          <w:sz w:val="20"/>
          <w:szCs w:val="20"/>
          <w:lang w:val="ca-ES"/>
        </w:rPr>
        <w:t xml:space="preserve"> la forma preceptuada per a la quarta trebel·liànica (article 29</w:t>
      </w:r>
      <w:r w:rsidR="001D0217">
        <w:rPr>
          <w:rFonts w:ascii="Arial" w:hAnsi="Arial" w:cs="Arial"/>
          <w:i/>
          <w:iCs/>
          <w:sz w:val="20"/>
          <w:szCs w:val="20"/>
          <w:lang w:val="ca-ES"/>
        </w:rPr>
        <w:t>,</w:t>
      </w:r>
      <w:r w:rsidRPr="00D86CB6">
        <w:rPr>
          <w:rFonts w:ascii="Arial" w:hAnsi="Arial" w:cs="Arial"/>
          <w:i/>
          <w:iCs/>
          <w:sz w:val="20"/>
          <w:szCs w:val="20"/>
          <w:lang w:val="ca-ES"/>
        </w:rPr>
        <w:t xml:space="preserve"> </w:t>
      </w:r>
      <w:hyperlink r:id="rId6" w:history="1">
        <w:r w:rsidR="00881102" w:rsidRPr="00791E40">
          <w:rPr>
            <w:rStyle w:val="Hipervnculo"/>
            <w:rFonts w:ascii="Arial" w:hAnsi="Arial" w:cs="Arial"/>
            <w:i/>
            <w:iCs/>
            <w:sz w:val="20"/>
            <w:szCs w:val="20"/>
            <w:lang w:val="ca-ES"/>
          </w:rPr>
          <w:t>CDCIB</w:t>
        </w:r>
      </w:hyperlink>
      <w:r w:rsidRPr="00D86CB6">
        <w:rPr>
          <w:rFonts w:ascii="Arial" w:hAnsi="Arial" w:cs="Arial"/>
          <w:i/>
          <w:iCs/>
          <w:sz w:val="20"/>
          <w:szCs w:val="20"/>
          <w:lang w:val="ca-ES"/>
        </w:rPr>
        <w:t>)</w:t>
      </w:r>
      <w:r>
        <w:rPr>
          <w:rFonts w:ascii="Arial" w:hAnsi="Arial" w:cs="Arial"/>
          <w:i/>
          <w:iCs/>
          <w:sz w:val="20"/>
          <w:szCs w:val="20"/>
          <w:lang w:val="ca-ES"/>
        </w:rPr>
        <w:t>.</w:t>
      </w:r>
    </w:p>
    <w:p w14:paraId="3CAADE1A" w14:textId="77777777" w:rsidR="00D46673" w:rsidRPr="00D86CB6" w:rsidRDefault="00D46673" w:rsidP="005C2FEF">
      <w:pPr>
        <w:pStyle w:val="Textonotaalfinal"/>
        <w:jc w:val="both"/>
        <w:rPr>
          <w:rFonts w:ascii="Arial" w:hAnsi="Arial" w:cs="Arial"/>
          <w:i/>
          <w:iCs/>
          <w:lang w:val="ca-ES"/>
        </w:rPr>
      </w:pPr>
    </w:p>
  </w:endnote>
  <w:endnote w:id="3">
    <w:p w14:paraId="7B3BCB38" w14:textId="77777777" w:rsidR="00D46673" w:rsidRPr="00D86CB6" w:rsidRDefault="00D46673" w:rsidP="00347F4B">
      <w:pPr>
        <w:pStyle w:val="Textonotaalfinal"/>
        <w:jc w:val="both"/>
        <w:rPr>
          <w:rFonts w:ascii="Arial" w:hAnsi="Arial" w:cs="Arial"/>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w:t>
      </w:r>
      <w:r w:rsidRPr="00D86CB6">
        <w:rPr>
          <w:rFonts w:ascii="Arial" w:hAnsi="Arial" w:cs="Arial"/>
          <w:i/>
          <w:iCs/>
          <w:lang w:val="ca-ES"/>
        </w:rPr>
        <w:t>Particularitats</w:t>
      </w:r>
      <w:r>
        <w:rPr>
          <w:rFonts w:ascii="Arial" w:hAnsi="Arial" w:cs="Arial"/>
          <w:i/>
          <w:iCs/>
          <w:lang w:val="ca-ES"/>
        </w:rPr>
        <w:t xml:space="preserve"> </w:t>
      </w:r>
      <w:r w:rsidRPr="00D86CB6">
        <w:rPr>
          <w:rFonts w:ascii="Arial" w:hAnsi="Arial" w:cs="Arial"/>
          <w:i/>
          <w:iCs/>
          <w:lang w:val="ca-ES"/>
        </w:rPr>
        <w:t>a tenir en compte segons el testador:</w:t>
      </w:r>
    </w:p>
    <w:p w14:paraId="3FF0141C" w14:textId="77777777" w:rsidR="00D46673" w:rsidRPr="00D86CB6" w:rsidRDefault="00D46673" w:rsidP="00347F4B">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 mallorquí o menorquí que resideix fora de les Illes de Mallorca o de Menorca respectivament</w:t>
      </w:r>
      <w:r>
        <w:rPr>
          <w:rFonts w:ascii="Arial" w:hAnsi="Arial" w:cs="Arial"/>
          <w:i/>
          <w:iCs/>
          <w:sz w:val="20"/>
          <w:szCs w:val="20"/>
          <w:lang w:val="ca-ES"/>
        </w:rPr>
        <w:t>,</w:t>
      </w:r>
      <w:r w:rsidRPr="00D86CB6">
        <w:rPr>
          <w:rFonts w:ascii="Arial" w:hAnsi="Arial" w:cs="Arial"/>
          <w:i/>
          <w:iCs/>
          <w:sz w:val="20"/>
          <w:szCs w:val="20"/>
          <w:lang w:val="ca-ES"/>
        </w:rPr>
        <w:t xml:space="preserve"> </w:t>
      </w:r>
      <w:r>
        <w:rPr>
          <w:rFonts w:ascii="Arial" w:hAnsi="Arial" w:cs="Arial"/>
          <w:i/>
          <w:iCs/>
          <w:sz w:val="20"/>
          <w:szCs w:val="20"/>
          <w:lang w:val="ca-ES"/>
        </w:rPr>
        <w:t>és</w:t>
      </w:r>
      <w:r w:rsidRPr="00D86CB6">
        <w:rPr>
          <w:rFonts w:ascii="Arial" w:hAnsi="Arial" w:cs="Arial"/>
          <w:i/>
          <w:iCs/>
          <w:sz w:val="20"/>
          <w:szCs w:val="20"/>
          <w:lang w:val="ca-ES"/>
        </w:rPr>
        <w:t xml:space="preserve"> convenient que especifiq</w:t>
      </w:r>
      <w:r>
        <w:rPr>
          <w:rFonts w:ascii="Arial" w:hAnsi="Arial" w:cs="Arial"/>
          <w:i/>
          <w:iCs/>
          <w:sz w:val="20"/>
          <w:szCs w:val="20"/>
          <w:lang w:val="ca-ES"/>
        </w:rPr>
        <w:t>ui</w:t>
      </w:r>
      <w:r w:rsidRPr="00D86CB6">
        <w:rPr>
          <w:rFonts w:ascii="Arial" w:hAnsi="Arial" w:cs="Arial"/>
          <w:i/>
          <w:iCs/>
          <w:sz w:val="20"/>
          <w:szCs w:val="20"/>
          <w:lang w:val="ca-ES"/>
        </w:rPr>
        <w:t xml:space="preserve"> i justifiq</w:t>
      </w:r>
      <w:r>
        <w:rPr>
          <w:rFonts w:ascii="Arial" w:hAnsi="Arial" w:cs="Arial"/>
          <w:i/>
          <w:iCs/>
          <w:sz w:val="20"/>
          <w:szCs w:val="20"/>
          <w:lang w:val="ca-ES"/>
        </w:rPr>
        <w:t>ui</w:t>
      </w:r>
      <w:r w:rsidRPr="00D86CB6">
        <w:rPr>
          <w:rFonts w:ascii="Arial" w:hAnsi="Arial" w:cs="Arial"/>
          <w:i/>
          <w:iCs/>
          <w:sz w:val="20"/>
          <w:szCs w:val="20"/>
          <w:lang w:val="ca-ES"/>
        </w:rPr>
        <w:t xml:space="preserve"> el seu veïnatge civil</w:t>
      </w:r>
      <w:r>
        <w:rPr>
          <w:rFonts w:ascii="Arial" w:hAnsi="Arial" w:cs="Arial"/>
          <w:i/>
          <w:iCs/>
          <w:sz w:val="20"/>
          <w:szCs w:val="20"/>
          <w:lang w:val="ca-ES"/>
        </w:rPr>
        <w:t>.</w:t>
      </w:r>
    </w:p>
    <w:p w14:paraId="78405E3F" w14:textId="77777777" w:rsidR="00D46673" w:rsidRPr="00D86CB6" w:rsidRDefault="00D46673" w:rsidP="00347F4B">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d’una persona que no fa més de 10 anys que resideix a l’Illa de Mallorca o a l’Illa de Menorca, s’ha de demanar quin és el seu veïnatge civil: s’ha de recordar sempre que el veïnatge civil no és el que diu el testador o el notari, sinó el que ve determinat per la llei</w:t>
      </w:r>
      <w:r>
        <w:rPr>
          <w:rFonts w:ascii="Arial" w:hAnsi="Arial" w:cs="Arial"/>
          <w:i/>
          <w:iCs/>
          <w:sz w:val="20"/>
          <w:szCs w:val="20"/>
          <w:lang w:val="ca-ES"/>
        </w:rPr>
        <w:t>.</w:t>
      </w:r>
    </w:p>
    <w:p w14:paraId="586C7C30" w14:textId="77777777" w:rsidR="00D46673" w:rsidRPr="00D86CB6" w:rsidRDefault="00D46673" w:rsidP="00347F4B">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 ciutadà espanyol resident a Espanya, s’ha de tenir en compte el que disposa l’article 9.8 del Codi civil: </w:t>
      </w:r>
      <w:bookmarkStart w:id="1" w:name="_Hlk116723839"/>
      <w:r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Pr="002F3767">
        <w:rPr>
          <w:rFonts w:ascii="Arial" w:hAnsi="Arial" w:cs="Arial"/>
          <w:sz w:val="20"/>
          <w:szCs w:val="20"/>
          <w:lang w:val="ca-ES"/>
        </w:rPr>
        <w:t>[...]”.</w:t>
      </w:r>
      <w:bookmarkEnd w:id="1"/>
    </w:p>
    <w:p w14:paraId="3F7A5288" w14:textId="77777777" w:rsidR="00D46673" w:rsidRPr="00347F4B" w:rsidRDefault="00D46673" w:rsidP="00D46673">
      <w:pPr>
        <w:pStyle w:val="Prrafodelista"/>
        <w:numPr>
          <w:ilvl w:val="0"/>
          <w:numId w:val="1"/>
        </w:numPr>
        <w:spacing w:line="240" w:lineRule="auto"/>
        <w:ind w:left="567"/>
        <w:jc w:val="both"/>
        <w:rPr>
          <w:rFonts w:ascii="Arial" w:hAnsi="Arial" w:cs="Arial"/>
          <w:i/>
          <w:iCs/>
          <w:lang w:val="ca-ES"/>
        </w:rPr>
      </w:pPr>
      <w:r w:rsidRPr="00347F4B">
        <w:rPr>
          <w:rFonts w:ascii="Arial" w:hAnsi="Arial" w:cs="Arial"/>
          <w:i/>
          <w:iCs/>
          <w:sz w:val="20"/>
          <w:szCs w:val="20"/>
          <w:lang w:val="ca-ES"/>
        </w:rPr>
        <w:t xml:space="preserve">Si es tracta d’un mallorquí o menorquí o d’un ciutadà de nacionalitat diferent a l’espanyola subjectes al Reglament (UE) núm. 650/2012 del Parlament Europeu i del Consell, de 4 de juliol de 2012, relatiu a la competència, la llei aplicable, el reconeixement i l'execució de les resolucions, a l'acceptació i l'execució dels documents públics en matèria de successions </w:t>
      </w:r>
      <w:r w:rsidRPr="00347F4B">
        <w:rPr>
          <w:rFonts w:ascii="Arial" w:hAnsi="Arial" w:cs="Arial"/>
          <w:sz w:val="20"/>
          <w:szCs w:val="20"/>
          <w:lang w:val="ca-ES"/>
        </w:rPr>
        <w:t>mortis causa</w:t>
      </w:r>
      <w:r w:rsidRPr="00347F4B">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Illes de Mallorca i de Menorca. Tanmateix, aquesta designació pot no ser efectiva; en aquest cas, cal atenir-se a com interpreten els òrgans jurisdiccionals els articles 21, 22, 36 i 38 del Reglament (UE) núm. 650/2012 esmentat.</w:t>
      </w:r>
    </w:p>
    <w:p w14:paraId="139118C8" w14:textId="24CBF4C8" w:rsidR="00D46673" w:rsidRPr="00347F4B" w:rsidRDefault="00D46673" w:rsidP="00D46673">
      <w:pPr>
        <w:pStyle w:val="Prrafodelista"/>
        <w:numPr>
          <w:ilvl w:val="0"/>
          <w:numId w:val="1"/>
        </w:numPr>
        <w:spacing w:line="240" w:lineRule="auto"/>
        <w:ind w:left="567"/>
        <w:jc w:val="both"/>
        <w:rPr>
          <w:rFonts w:ascii="Arial" w:hAnsi="Arial" w:cs="Arial"/>
          <w:i/>
          <w:iCs/>
          <w:lang w:val="ca-ES"/>
        </w:rPr>
      </w:pPr>
      <w:r w:rsidRPr="00347F4B">
        <w:rPr>
          <w:rFonts w:ascii="Arial" w:hAnsi="Arial" w:cs="Arial"/>
          <w:i/>
          <w:iCs/>
          <w:sz w:val="20"/>
          <w:szCs w:val="20"/>
          <w:lang w:val="ca-ES"/>
        </w:rPr>
        <w:t>Si arran de l’aplicació del Reglament (UE) núm. 650/2012 esmentat, l’aplicació del dret civil de Mallorca i de Menorca respon al fet que resulta, clarament de totes les circumstàncies del cas, que el testador, en el moment d’atorgar el testament, manté un vincle manifestament més estret amb l’Illa de Mallorca o de Menorca malgrat no viure-hi, és molt recomanable exposar-ho al testament. Tanmateix, aquesta explicació pot no ser efectiva; en aquest cas, caldrà atenir-se a com interpreten els òrgans jurisdiccionals els articles 21, 22, 36 i 38 del Reglament (UE) núm. 650/2012 esmentat</w:t>
      </w:r>
      <w:r w:rsidRPr="00347F4B">
        <w:rPr>
          <w:rFonts w:ascii="Arial" w:hAnsi="Arial" w:cs="Arial"/>
          <w:i/>
          <w:iCs/>
          <w:lang w:val="ca-ES"/>
        </w:rPr>
        <w:t>.</w:t>
      </w:r>
    </w:p>
    <w:p w14:paraId="64D0B502" w14:textId="77777777" w:rsidR="00D46673" w:rsidRPr="00D86CB6" w:rsidRDefault="00D46673" w:rsidP="001F0D76">
      <w:pPr>
        <w:pStyle w:val="Textonotaalfinal"/>
        <w:jc w:val="both"/>
        <w:rPr>
          <w:rFonts w:ascii="Arial" w:hAnsi="Arial" w:cs="Arial"/>
          <w:i/>
          <w:iCs/>
          <w:lang w:val="ca-ES"/>
        </w:rPr>
      </w:pPr>
    </w:p>
  </w:endnote>
  <w:endnote w:id="4">
    <w:p w14:paraId="0CA095B7" w14:textId="53E16FC1" w:rsidR="00D46673" w:rsidRDefault="00D46673" w:rsidP="00807C16">
      <w:pPr>
        <w:pStyle w:val="Textonotaalfinal"/>
        <w:jc w:val="both"/>
        <w:rPr>
          <w:rFonts w:ascii="Arial" w:hAnsi="Arial" w:cs="Arial"/>
          <w:bCs/>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w:t>
      </w:r>
      <w:r>
        <w:rPr>
          <w:rFonts w:ascii="Arial" w:hAnsi="Arial" w:cs="Arial"/>
          <w:i/>
          <w:iCs/>
          <w:lang w:val="ca-ES"/>
        </w:rPr>
        <w:t xml:space="preserve">Recordem que a Mallorca i a Menorca, d’acord amb el que disposa l’article 41 </w:t>
      </w:r>
      <w:hyperlink r:id="rId7" w:history="1">
        <w:r w:rsidR="00881102" w:rsidRPr="00791E40">
          <w:rPr>
            <w:rStyle w:val="Hipervnculo"/>
            <w:rFonts w:ascii="Arial" w:hAnsi="Arial" w:cs="Arial"/>
            <w:i/>
            <w:iCs/>
            <w:lang w:val="ca-ES"/>
          </w:rPr>
          <w:t>CDCIB</w:t>
        </w:r>
      </w:hyperlink>
      <w:r>
        <w:rPr>
          <w:rFonts w:ascii="Arial" w:hAnsi="Arial" w:cs="Arial"/>
          <w:i/>
          <w:iCs/>
          <w:lang w:val="ca-ES"/>
        </w:rPr>
        <w:t xml:space="preserve">, els possibles legitimaris són: els fills descendents per naturalesa i els adoptius; els pares per natura o adopció i el cònjuge viudo (aquest darrer, serà legitimari </w:t>
      </w:r>
      <w:r w:rsidRPr="00405003">
        <w:rPr>
          <w:rStyle w:val="markedcontent"/>
          <w:rFonts w:ascii="Arial" w:hAnsi="Arial" w:cs="Arial"/>
          <w:i/>
          <w:iCs/>
          <w:lang w:val="ca-ES"/>
        </w:rPr>
        <w:t>sempre</w:t>
      </w:r>
      <w:r>
        <w:rPr>
          <w:rStyle w:val="markedcontent"/>
          <w:rFonts w:ascii="Arial" w:hAnsi="Arial" w:cs="Arial"/>
          <w:i/>
          <w:iCs/>
          <w:lang w:val="ca-ES"/>
        </w:rPr>
        <w:t xml:space="preserve"> que</w:t>
      </w:r>
      <w:r w:rsidRPr="00405003">
        <w:rPr>
          <w:rStyle w:val="markedcontent"/>
          <w:rFonts w:ascii="Arial" w:hAnsi="Arial" w:cs="Arial"/>
          <w:i/>
          <w:iCs/>
          <w:lang w:val="ca-ES"/>
        </w:rPr>
        <w:t xml:space="preserve"> </w:t>
      </w:r>
      <w:r>
        <w:rPr>
          <w:rFonts w:ascii="Arial" w:eastAsia="Times New Roman" w:hAnsi="Arial" w:cs="Arial"/>
          <w:i/>
          <w:iCs/>
          <w:lang w:val="ca-ES" w:eastAsia="es-ES"/>
        </w:rPr>
        <w:t>“</w:t>
      </w:r>
      <w:r w:rsidRPr="00405003">
        <w:rPr>
          <w:rFonts w:ascii="Arial" w:eastAsia="Times New Roman" w:hAnsi="Arial" w:cs="Arial"/>
          <w:i/>
          <w:iCs/>
          <w:lang w:val="ca-ES" w:eastAsia="es-ES"/>
        </w:rPr>
        <w:t xml:space="preserve">[...] </w:t>
      </w:r>
      <w:r w:rsidRPr="00405003">
        <w:rPr>
          <w:rStyle w:val="markedcontent"/>
          <w:rFonts w:ascii="Arial" w:hAnsi="Arial" w:cs="Arial"/>
          <w:i/>
          <w:iCs/>
          <w:lang w:val="ca-ES"/>
        </w:rPr>
        <w:t>en morir el consort, no es trobi separat legalment, ni s’hagin</w:t>
      </w:r>
      <w:r w:rsidRPr="00405003">
        <w:rPr>
          <w:i/>
          <w:iCs/>
          <w:lang w:val="ca-ES"/>
        </w:rPr>
        <w:t xml:space="preserve"> </w:t>
      </w:r>
      <w:r w:rsidRPr="00405003">
        <w:rPr>
          <w:rStyle w:val="markedcontent"/>
          <w:rFonts w:ascii="Arial" w:hAnsi="Arial" w:cs="Arial"/>
          <w:i/>
          <w:iCs/>
          <w:lang w:val="ca-ES"/>
        </w:rPr>
        <w:t>iniciat, per part de cap dels dos cònjuges, els tràmits regulats a tal efecte en la</w:t>
      </w:r>
      <w:r>
        <w:rPr>
          <w:i/>
          <w:iCs/>
          <w:lang w:val="ca-ES"/>
        </w:rPr>
        <w:t xml:space="preserve"> </w:t>
      </w:r>
      <w:r w:rsidRPr="00405003">
        <w:rPr>
          <w:rStyle w:val="markedcontent"/>
          <w:rFonts w:ascii="Arial" w:hAnsi="Arial" w:cs="Arial"/>
          <w:i/>
          <w:iCs/>
          <w:lang w:val="ca-ES"/>
        </w:rPr>
        <w:t>legislació civil de l’Estat […]</w:t>
      </w:r>
      <w:r>
        <w:rPr>
          <w:rFonts w:ascii="Arial" w:eastAsia="Times New Roman" w:hAnsi="Arial" w:cs="Arial"/>
          <w:i/>
          <w:iCs/>
          <w:lang w:val="ca-ES" w:eastAsia="es-ES"/>
        </w:rPr>
        <w:t>”</w:t>
      </w:r>
      <w:r>
        <w:rPr>
          <w:rFonts w:ascii="Arial" w:hAnsi="Arial" w:cs="Arial"/>
          <w:bCs/>
          <w:i/>
          <w:iCs/>
          <w:lang w:val="ca-ES"/>
        </w:rPr>
        <w:t>.</w:t>
      </w:r>
    </w:p>
    <w:p w14:paraId="079C57D0" w14:textId="0C5ED932" w:rsidR="00D46673" w:rsidRPr="00430B75" w:rsidRDefault="00D46673" w:rsidP="00807C16">
      <w:pPr>
        <w:pStyle w:val="Textonotaalfinal"/>
        <w:jc w:val="both"/>
        <w:rPr>
          <w:rFonts w:ascii="Arial" w:hAnsi="Arial" w:cs="Arial"/>
          <w:i/>
          <w:iCs/>
          <w:lang w:val="ca-ES"/>
        </w:rPr>
      </w:pPr>
      <w:r>
        <w:rPr>
          <w:rFonts w:ascii="Arial" w:hAnsi="Arial" w:cs="Arial"/>
          <w:bCs/>
          <w:i/>
          <w:iCs/>
          <w:lang w:val="ca-ES"/>
        </w:rPr>
        <w:t xml:space="preserve">També tenen la consideració de legitimaris els sobrevivents d’una parella estable legalment constituïda d’acord amb la </w:t>
      </w:r>
      <w:hyperlink r:id="rId8" w:history="1">
        <w:r w:rsidR="00D16BCE" w:rsidRPr="00E83B19">
          <w:rPr>
            <w:rStyle w:val="Hipervnculo"/>
            <w:rFonts w:ascii="Arial" w:hAnsi="Arial" w:cs="Arial"/>
            <w:i/>
            <w:iCs/>
            <w:lang w:val="ca-ES"/>
          </w:rPr>
          <w:t>Llei 18/2001</w:t>
        </w:r>
      </w:hyperlink>
      <w:r>
        <w:rPr>
          <w:rFonts w:ascii="Arial" w:hAnsi="Arial" w:cs="Arial"/>
          <w:i/>
          <w:iCs/>
          <w:lang w:val="ca-ES"/>
        </w:rPr>
        <w:t xml:space="preserve">, de 19 de desembre, de parelles estables: </w:t>
      </w:r>
      <w:r>
        <w:rPr>
          <w:rFonts w:ascii="Arial" w:eastAsia="Times New Roman" w:hAnsi="Arial" w:cs="Arial"/>
          <w:i/>
          <w:iCs/>
          <w:lang w:val="ca-ES" w:eastAsia="es-ES"/>
        </w:rPr>
        <w:t>“</w:t>
      </w:r>
      <w:r w:rsidRPr="00430B75">
        <w:rPr>
          <w:rStyle w:val="markedcontent"/>
          <w:rFonts w:ascii="Arial" w:hAnsi="Arial" w:cs="Arial"/>
          <w:i/>
          <w:iCs/>
          <w:lang w:val="ca-ES"/>
        </w:rPr>
        <w:t>Tant en els supòsits de successió testada, com en els d’intestada, el convivent que</w:t>
      </w:r>
      <w:r>
        <w:rPr>
          <w:i/>
          <w:iCs/>
          <w:lang w:val="ca-ES"/>
        </w:rPr>
        <w:t xml:space="preserve"> </w:t>
      </w:r>
      <w:r w:rsidRPr="00430B75">
        <w:rPr>
          <w:rStyle w:val="markedcontent"/>
          <w:rFonts w:ascii="Arial" w:hAnsi="Arial" w:cs="Arial"/>
          <w:i/>
          <w:iCs/>
          <w:lang w:val="ca-ES"/>
        </w:rPr>
        <w:t>sobrevisqui</w:t>
      </w:r>
      <w:r>
        <w:rPr>
          <w:rStyle w:val="markedcontent"/>
          <w:rFonts w:ascii="Arial" w:hAnsi="Arial" w:cs="Arial"/>
          <w:i/>
          <w:iCs/>
          <w:lang w:val="ca-ES"/>
        </w:rPr>
        <w:t xml:space="preserve"> </w:t>
      </w:r>
      <w:r w:rsidRPr="00430B75">
        <w:rPr>
          <w:rStyle w:val="markedcontent"/>
          <w:rFonts w:ascii="Arial" w:hAnsi="Arial" w:cs="Arial"/>
          <w:i/>
          <w:iCs/>
          <w:lang w:val="ca-ES"/>
        </w:rPr>
        <w:t>al membre de la parella premort té els mateixos drets que la Compilació de</w:t>
      </w:r>
      <w:r>
        <w:rPr>
          <w:i/>
          <w:iCs/>
          <w:lang w:val="ca-ES"/>
        </w:rPr>
        <w:t xml:space="preserve"> </w:t>
      </w:r>
      <w:r>
        <w:rPr>
          <w:rStyle w:val="markedcontent"/>
          <w:rFonts w:ascii="Arial" w:hAnsi="Arial" w:cs="Arial"/>
          <w:i/>
          <w:iCs/>
          <w:lang w:val="ca-ES"/>
        </w:rPr>
        <w:t>dret c</w:t>
      </w:r>
      <w:r w:rsidRPr="00430B75">
        <w:rPr>
          <w:rStyle w:val="markedcontent"/>
          <w:rFonts w:ascii="Arial" w:hAnsi="Arial" w:cs="Arial"/>
          <w:i/>
          <w:iCs/>
          <w:lang w:val="ca-ES"/>
        </w:rPr>
        <w:t>ivil balear preveu al cònjuge vidu</w:t>
      </w:r>
      <w:r>
        <w:rPr>
          <w:rFonts w:ascii="Arial" w:eastAsia="Times New Roman" w:hAnsi="Arial" w:cs="Arial"/>
          <w:i/>
          <w:iCs/>
          <w:lang w:val="ca-ES" w:eastAsia="es-ES"/>
        </w:rPr>
        <w:t xml:space="preserve">” (article 13 de la </w:t>
      </w:r>
      <w:hyperlink r:id="rId9" w:history="1">
        <w:r w:rsidR="00377C10" w:rsidRPr="00E83B19">
          <w:rPr>
            <w:rStyle w:val="Hipervnculo"/>
            <w:rFonts w:ascii="Arial" w:hAnsi="Arial" w:cs="Arial"/>
            <w:i/>
            <w:iCs/>
            <w:lang w:val="ca-ES"/>
          </w:rPr>
          <w:t>Llei 18/2001</w:t>
        </w:r>
      </w:hyperlink>
      <w:r>
        <w:rPr>
          <w:rFonts w:ascii="Arial" w:eastAsia="Times New Roman" w:hAnsi="Arial" w:cs="Arial"/>
          <w:i/>
          <w:iCs/>
          <w:lang w:val="ca-ES" w:eastAsia="es-ES"/>
        </w:rPr>
        <w:t>).</w:t>
      </w:r>
    </w:p>
    <w:p w14:paraId="13E1813C" w14:textId="77777777" w:rsidR="00D46673" w:rsidRPr="00D86CB6" w:rsidRDefault="00D46673" w:rsidP="00807C16">
      <w:pPr>
        <w:pStyle w:val="Textonotaalfinal"/>
        <w:jc w:val="both"/>
        <w:rPr>
          <w:rFonts w:ascii="Arial" w:hAnsi="Arial" w:cs="Arial"/>
          <w:i/>
          <w:iCs/>
          <w:lang w:val="ca-ES"/>
        </w:rPr>
      </w:pPr>
    </w:p>
  </w:endnote>
  <w:endnote w:id="5">
    <w:p w14:paraId="663D0F23" w14:textId="20B8EE2A" w:rsidR="00D46673" w:rsidRDefault="00D46673" w:rsidP="00FF57E3">
      <w:pPr>
        <w:pStyle w:val="Textonotaalfinal"/>
        <w:jc w:val="both"/>
        <w:rPr>
          <w:rFonts w:ascii="Arial" w:eastAsia="Times New Roman" w:hAnsi="Arial" w:cs="Arial"/>
          <w:i/>
          <w:iCs/>
          <w:lang w:val="ca-ES" w:eastAsia="es-ES"/>
        </w:rPr>
      </w:pPr>
      <w:r w:rsidRPr="00D86CB6">
        <w:rPr>
          <w:rStyle w:val="Refdenotaalfinal"/>
          <w:rFonts w:ascii="Arial" w:hAnsi="Arial" w:cs="Arial"/>
          <w:i/>
          <w:iCs/>
          <w:lang w:val="ca-ES"/>
        </w:rPr>
        <w:endnoteRef/>
      </w:r>
      <w:r w:rsidRPr="00D86CB6">
        <w:rPr>
          <w:rFonts w:ascii="Arial" w:hAnsi="Arial" w:cs="Arial"/>
          <w:i/>
          <w:iCs/>
          <w:lang w:val="ca-ES"/>
        </w:rPr>
        <w:t xml:space="preserve"> </w:t>
      </w:r>
      <w:r>
        <w:rPr>
          <w:rFonts w:ascii="Arial" w:hAnsi="Arial" w:cs="Arial"/>
          <w:i/>
          <w:iCs/>
          <w:lang w:val="ca-ES"/>
        </w:rPr>
        <w:t xml:space="preserve">A les Illes de Mallorca i de Menorca, la llegítima és </w:t>
      </w:r>
      <w:r w:rsidRPr="00D46673">
        <w:rPr>
          <w:rFonts w:ascii="Arial" w:hAnsi="Arial" w:cs="Arial"/>
          <w:iCs/>
          <w:lang w:val="ca-ES"/>
        </w:rPr>
        <w:t>pars bonorum</w:t>
      </w:r>
      <w:r>
        <w:rPr>
          <w:rFonts w:ascii="Arial" w:hAnsi="Arial" w:cs="Arial"/>
          <w:i/>
          <w:iCs/>
          <w:lang w:val="ca-ES"/>
        </w:rPr>
        <w:t xml:space="preserve">; això vol dir que </w:t>
      </w:r>
      <w:r>
        <w:rPr>
          <w:rFonts w:ascii="Arial" w:eastAsia="Times New Roman" w:hAnsi="Arial" w:cs="Arial"/>
          <w:i/>
          <w:iCs/>
          <w:lang w:val="ca-ES" w:eastAsia="es-ES"/>
        </w:rPr>
        <w:t>“</w:t>
      </w:r>
      <w:r w:rsidRPr="00371E37">
        <w:rPr>
          <w:rFonts w:ascii="Arial" w:hAnsi="Arial" w:cs="Arial"/>
          <w:i/>
          <w:iCs/>
          <w:lang w:val="ca-ES"/>
        </w:rPr>
        <w:t>La llegítima atribueix dret a una porció de l’haver hereditari i ha de ser pagada en béns de l’herència</w:t>
      </w:r>
      <w:r>
        <w:rPr>
          <w:rFonts w:ascii="Arial" w:hAnsi="Arial" w:cs="Arial"/>
          <w:i/>
          <w:iCs/>
          <w:lang w:val="ca-ES"/>
        </w:rPr>
        <w:t xml:space="preserve">. </w:t>
      </w:r>
      <w:r w:rsidRPr="00405003">
        <w:rPr>
          <w:rFonts w:ascii="Arial" w:eastAsia="Times New Roman" w:hAnsi="Arial" w:cs="Arial"/>
          <w:i/>
          <w:iCs/>
          <w:lang w:val="ca-ES" w:eastAsia="es-ES"/>
        </w:rPr>
        <w:t>[...]</w:t>
      </w:r>
      <w:r>
        <w:rPr>
          <w:rFonts w:ascii="Arial" w:eastAsia="Times New Roman" w:hAnsi="Arial" w:cs="Arial"/>
          <w:i/>
          <w:iCs/>
          <w:lang w:val="ca-ES" w:eastAsia="es-ES"/>
        </w:rPr>
        <w:t>” (primer incís del primer paràgraf de l’article 48</w:t>
      </w:r>
      <w:r w:rsidR="00B4660F">
        <w:rPr>
          <w:rFonts w:ascii="Arial" w:eastAsia="Times New Roman" w:hAnsi="Arial" w:cs="Arial"/>
          <w:i/>
          <w:iCs/>
          <w:lang w:val="ca-ES" w:eastAsia="es-ES"/>
        </w:rPr>
        <w:t>,</w:t>
      </w:r>
      <w:r>
        <w:rPr>
          <w:rFonts w:ascii="Arial" w:eastAsia="Times New Roman" w:hAnsi="Arial" w:cs="Arial"/>
          <w:i/>
          <w:iCs/>
          <w:lang w:val="ca-ES" w:eastAsia="es-ES"/>
        </w:rPr>
        <w:t xml:space="preserve"> </w:t>
      </w:r>
      <w:hyperlink r:id="rId10" w:history="1">
        <w:r w:rsidR="00881102" w:rsidRPr="00791E40">
          <w:rPr>
            <w:rStyle w:val="Hipervnculo"/>
            <w:rFonts w:ascii="Arial" w:hAnsi="Arial" w:cs="Arial"/>
            <w:i/>
            <w:iCs/>
            <w:lang w:val="ca-ES"/>
          </w:rPr>
          <w:t>CDCIB</w:t>
        </w:r>
      </w:hyperlink>
      <w:r>
        <w:rPr>
          <w:rFonts w:ascii="Arial" w:eastAsia="Times New Roman" w:hAnsi="Arial" w:cs="Arial"/>
          <w:i/>
          <w:iCs/>
          <w:lang w:val="ca-ES" w:eastAsia="es-ES"/>
        </w:rPr>
        <w:t>). Ara bé, el legislador permet que el testador autoritzi l’hereu perquè la llegítima se pagui en diners, malgrat no n’hi hagi a l’herència: “</w:t>
      </w:r>
      <w:r w:rsidRPr="00405003">
        <w:rPr>
          <w:rFonts w:ascii="Arial" w:eastAsia="Times New Roman" w:hAnsi="Arial" w:cs="Arial"/>
          <w:i/>
          <w:iCs/>
          <w:lang w:val="ca-ES" w:eastAsia="es-ES"/>
        </w:rPr>
        <w:t xml:space="preserve">[...] </w:t>
      </w:r>
      <w:r w:rsidRPr="00E61473">
        <w:rPr>
          <w:rFonts w:ascii="Arial" w:hAnsi="Arial" w:cs="Arial"/>
          <w:i/>
          <w:iCs/>
          <w:lang w:val="ca-ES"/>
        </w:rPr>
        <w:t>No obstant, el testador, en tot cas, i l’hereu distribuïdor, si no se’ls hagués prohibit, podran autoritzar el pagament de la llegítima en doblers encara que no n’hi hagi a l’herènci</w:t>
      </w:r>
      <w:r>
        <w:rPr>
          <w:rFonts w:ascii="Arial" w:hAnsi="Arial" w:cs="Arial"/>
          <w:i/>
          <w:iCs/>
          <w:lang w:val="ca-ES"/>
        </w:rPr>
        <w:t>a”.</w:t>
      </w:r>
      <w:r>
        <w:rPr>
          <w:rFonts w:ascii="Arial" w:eastAsia="Times New Roman" w:hAnsi="Arial" w:cs="Arial"/>
          <w:i/>
          <w:iCs/>
          <w:lang w:val="ca-ES" w:eastAsia="es-ES"/>
        </w:rPr>
        <w:t xml:space="preserve"> Per tant, si el testador no diu res, per una part, el legitimari tindrà dret a reclamar una porció dels béns hereditaris, però no diners si no n’hi ha a l’herència; per l’altra, l’hereu no podrà excloure del repartiment dels béns de l’herència al legitimari pagant el que li pertoqui en diners. Evidentment, l’hereu i el legitimari se poden posar d’acord de com ha de rebre aquest darrer el que li correspon per llegítima al marge del que hagi autoritzat o no el testador.</w:t>
      </w:r>
    </w:p>
    <w:p w14:paraId="66E9FEF1" w14:textId="39E65871" w:rsidR="00D46673" w:rsidRDefault="00D46673" w:rsidP="00FF57E3">
      <w:pPr>
        <w:pStyle w:val="Textonotaalfinal"/>
        <w:jc w:val="both"/>
        <w:rPr>
          <w:rFonts w:ascii="Arial" w:eastAsia="Times New Roman" w:hAnsi="Arial" w:cs="Arial"/>
          <w:i/>
          <w:iCs/>
          <w:lang w:val="ca-ES" w:eastAsia="es-ES"/>
        </w:rPr>
      </w:pPr>
    </w:p>
    <w:p w14:paraId="54DBA850" w14:textId="113F1C87" w:rsidR="00D46673" w:rsidRPr="00E628A9" w:rsidRDefault="00D46673" w:rsidP="00FF57E3">
      <w:pPr>
        <w:pStyle w:val="Textonotaalfinal"/>
        <w:jc w:val="both"/>
        <w:rPr>
          <w:rFonts w:ascii="Arial" w:eastAsia="Times New Roman" w:hAnsi="Arial" w:cs="Arial"/>
          <w:i/>
          <w:iCs/>
          <w:lang w:val="ca-ES" w:eastAsia="es-ES"/>
        </w:rPr>
      </w:pPr>
      <w:r w:rsidRPr="00E628A9">
        <w:rPr>
          <w:rFonts w:ascii="Arial" w:hAnsi="Arial" w:cs="Arial"/>
          <w:i/>
          <w:iCs/>
          <w:lang w:val="ca-ES"/>
        </w:rPr>
        <w:t xml:space="preserve">Aquesta facultat del </w:t>
      </w:r>
      <w:r>
        <w:rPr>
          <w:rFonts w:ascii="Arial" w:hAnsi="Arial" w:cs="Arial"/>
          <w:i/>
          <w:iCs/>
          <w:lang w:val="ca-ES"/>
        </w:rPr>
        <w:t>testador</w:t>
      </w:r>
      <w:r w:rsidRPr="00E628A9">
        <w:rPr>
          <w:rFonts w:ascii="Arial" w:hAnsi="Arial" w:cs="Arial"/>
          <w:i/>
          <w:iCs/>
          <w:lang w:val="ca-ES"/>
        </w:rPr>
        <w:t xml:space="preserve"> de commutar la </w:t>
      </w:r>
      <w:r>
        <w:rPr>
          <w:rFonts w:ascii="Arial" w:hAnsi="Arial" w:cs="Arial"/>
          <w:i/>
          <w:iCs/>
          <w:lang w:val="ca-ES"/>
        </w:rPr>
        <w:t>l</w:t>
      </w:r>
      <w:r w:rsidRPr="00E628A9">
        <w:rPr>
          <w:rFonts w:ascii="Arial" w:hAnsi="Arial" w:cs="Arial"/>
          <w:i/>
          <w:iCs/>
          <w:lang w:val="ca-ES"/>
        </w:rPr>
        <w:t>legítima</w:t>
      </w:r>
      <w:r>
        <w:rPr>
          <w:rFonts w:ascii="Arial" w:hAnsi="Arial" w:cs="Arial"/>
          <w:i/>
          <w:iCs/>
          <w:lang w:val="ca-ES"/>
        </w:rPr>
        <w:t xml:space="preserve"> </w:t>
      </w:r>
      <w:r w:rsidRPr="00D46673">
        <w:rPr>
          <w:rFonts w:ascii="Arial" w:hAnsi="Arial" w:cs="Arial"/>
          <w:iCs/>
          <w:lang w:val="ca-ES"/>
        </w:rPr>
        <w:t>pars bonorum</w:t>
      </w:r>
      <w:r>
        <w:rPr>
          <w:rFonts w:ascii="Arial" w:hAnsi="Arial" w:cs="Arial"/>
          <w:i/>
          <w:iCs/>
          <w:lang w:val="ca-ES"/>
        </w:rPr>
        <w:t xml:space="preserve"> per doblers entenc, juntament amb altres autors, que</w:t>
      </w:r>
      <w:r w:rsidRPr="00E628A9">
        <w:rPr>
          <w:rFonts w:ascii="Arial" w:hAnsi="Arial" w:cs="Arial"/>
          <w:i/>
          <w:iCs/>
          <w:lang w:val="ca-ES"/>
        </w:rPr>
        <w:t xml:space="preserve"> s'estén a qualsevol </w:t>
      </w:r>
      <w:r>
        <w:rPr>
          <w:rFonts w:ascii="Arial" w:hAnsi="Arial" w:cs="Arial"/>
          <w:i/>
          <w:iCs/>
          <w:lang w:val="ca-ES"/>
        </w:rPr>
        <w:t>l</w:t>
      </w:r>
      <w:r w:rsidRPr="00E628A9">
        <w:rPr>
          <w:rFonts w:ascii="Arial" w:hAnsi="Arial" w:cs="Arial"/>
          <w:i/>
          <w:iCs/>
          <w:lang w:val="ca-ES"/>
        </w:rPr>
        <w:t>legítima (la llei no distingeix entre legitimaris</w:t>
      </w:r>
      <w:r>
        <w:rPr>
          <w:rFonts w:ascii="Arial" w:hAnsi="Arial" w:cs="Arial"/>
          <w:i/>
          <w:iCs/>
          <w:lang w:val="ca-ES"/>
        </w:rPr>
        <w:t>, amb</w:t>
      </w:r>
      <w:r w:rsidRPr="00E628A9">
        <w:rPr>
          <w:rFonts w:ascii="Arial" w:hAnsi="Arial" w:cs="Arial"/>
          <w:i/>
          <w:iCs/>
          <w:lang w:val="ca-ES"/>
        </w:rPr>
        <w:t xml:space="preserve"> la qual cosa el </w:t>
      </w:r>
      <w:r>
        <w:rPr>
          <w:rFonts w:ascii="Arial" w:hAnsi="Arial" w:cs="Arial"/>
          <w:i/>
          <w:iCs/>
          <w:lang w:val="ca-ES"/>
        </w:rPr>
        <w:t>testador també pot</w:t>
      </w:r>
      <w:r w:rsidRPr="00E628A9">
        <w:rPr>
          <w:rFonts w:ascii="Arial" w:hAnsi="Arial" w:cs="Arial"/>
          <w:i/>
          <w:iCs/>
          <w:lang w:val="ca-ES"/>
        </w:rPr>
        <w:t xml:space="preserve"> ordenar el </w:t>
      </w:r>
      <w:r>
        <w:rPr>
          <w:rFonts w:ascii="Arial" w:hAnsi="Arial" w:cs="Arial"/>
          <w:i/>
          <w:iCs/>
          <w:lang w:val="ca-ES"/>
        </w:rPr>
        <w:t>pagament</w:t>
      </w:r>
      <w:r w:rsidRPr="00E628A9">
        <w:rPr>
          <w:rFonts w:ascii="Arial" w:hAnsi="Arial" w:cs="Arial"/>
          <w:i/>
          <w:iCs/>
          <w:lang w:val="ca-ES"/>
        </w:rPr>
        <w:t xml:space="preserve"> en </w:t>
      </w:r>
      <w:r>
        <w:rPr>
          <w:rFonts w:ascii="Arial" w:hAnsi="Arial" w:cs="Arial"/>
          <w:i/>
          <w:iCs/>
          <w:lang w:val="ca-ES"/>
        </w:rPr>
        <w:t>doblers</w:t>
      </w:r>
      <w:r w:rsidRPr="00E628A9">
        <w:rPr>
          <w:rFonts w:ascii="Arial" w:hAnsi="Arial" w:cs="Arial"/>
          <w:i/>
          <w:iCs/>
          <w:lang w:val="ca-ES"/>
        </w:rPr>
        <w:t xml:space="preserve"> de la l</w:t>
      </w:r>
      <w:r>
        <w:rPr>
          <w:rFonts w:ascii="Arial" w:hAnsi="Arial" w:cs="Arial"/>
          <w:i/>
          <w:iCs/>
          <w:lang w:val="ca-ES"/>
        </w:rPr>
        <w:t>l</w:t>
      </w:r>
      <w:r w:rsidRPr="00E628A9">
        <w:rPr>
          <w:rFonts w:ascii="Arial" w:hAnsi="Arial" w:cs="Arial"/>
          <w:i/>
          <w:iCs/>
          <w:lang w:val="ca-ES"/>
        </w:rPr>
        <w:t>egítima del cònjuge v</w:t>
      </w:r>
      <w:r>
        <w:rPr>
          <w:rFonts w:ascii="Arial" w:hAnsi="Arial" w:cs="Arial"/>
          <w:i/>
          <w:iCs/>
          <w:lang w:val="ca-ES"/>
        </w:rPr>
        <w:t xml:space="preserve">iudo o del sobrevivent de la parella estable constituïda d’acord amb el que preveu </w:t>
      </w:r>
      <w:r w:rsidR="00694171">
        <w:rPr>
          <w:rFonts w:ascii="Arial" w:eastAsia="Times New Roman" w:hAnsi="Arial" w:cs="Arial"/>
          <w:i/>
          <w:iCs/>
          <w:lang w:val="ca-ES" w:eastAsia="es-ES"/>
        </w:rPr>
        <w:t>la</w:t>
      </w:r>
      <w:r>
        <w:rPr>
          <w:rFonts w:ascii="Arial" w:eastAsia="Times New Roman" w:hAnsi="Arial" w:cs="Arial"/>
          <w:i/>
          <w:iCs/>
          <w:lang w:val="ca-ES" w:eastAsia="es-ES"/>
        </w:rPr>
        <w:t xml:space="preserve"> </w:t>
      </w:r>
      <w:hyperlink r:id="rId11" w:history="1">
        <w:r w:rsidR="00377C10" w:rsidRPr="00E83B19">
          <w:rPr>
            <w:rStyle w:val="Hipervnculo"/>
            <w:rFonts w:ascii="Arial" w:hAnsi="Arial" w:cs="Arial"/>
            <w:i/>
            <w:iCs/>
            <w:lang w:val="ca-ES"/>
          </w:rPr>
          <w:t>Llei 18/2001</w:t>
        </w:r>
      </w:hyperlink>
      <w:r>
        <w:rPr>
          <w:rFonts w:ascii="Arial" w:eastAsia="Times New Roman" w:hAnsi="Arial" w:cs="Arial"/>
          <w:i/>
          <w:iCs/>
          <w:lang w:val="ca-ES" w:eastAsia="es-ES"/>
        </w:rPr>
        <w:t>.</w:t>
      </w:r>
    </w:p>
    <w:p w14:paraId="41C3A444" w14:textId="0981A8BC" w:rsidR="00D46673" w:rsidRDefault="00D46673" w:rsidP="00FF57E3">
      <w:pPr>
        <w:pStyle w:val="Textonotaalfinal"/>
        <w:jc w:val="both"/>
        <w:rPr>
          <w:rFonts w:ascii="Arial" w:eastAsia="Times New Roman" w:hAnsi="Arial" w:cs="Arial"/>
          <w:i/>
          <w:iCs/>
          <w:lang w:val="ca-ES" w:eastAsia="es-ES"/>
        </w:rPr>
      </w:pPr>
    </w:p>
    <w:p w14:paraId="4E32FA94" w14:textId="15F3C077" w:rsidR="00D46673" w:rsidRDefault="00D46673" w:rsidP="00FF57E3">
      <w:pPr>
        <w:pStyle w:val="Textonotaalfinal"/>
        <w:jc w:val="both"/>
        <w:rPr>
          <w:rFonts w:ascii="Arial" w:eastAsia="Times New Roman" w:hAnsi="Arial" w:cs="Arial"/>
          <w:i/>
          <w:iCs/>
          <w:lang w:val="ca-ES" w:eastAsia="es-ES"/>
        </w:rPr>
      </w:pPr>
      <w:r w:rsidRPr="00116D0F">
        <w:rPr>
          <w:rFonts w:ascii="Arial" w:eastAsia="Times New Roman" w:hAnsi="Arial" w:cs="Arial"/>
          <w:i/>
          <w:iCs/>
          <w:lang w:val="ca-ES" w:eastAsia="es-ES"/>
        </w:rPr>
        <w:t xml:space="preserve">Si el testador autoritza l’hereu </w:t>
      </w:r>
      <w:r w:rsidR="00116D0F" w:rsidRPr="00116D0F">
        <w:rPr>
          <w:rFonts w:ascii="Arial" w:eastAsia="Times New Roman" w:hAnsi="Arial" w:cs="Arial"/>
          <w:i/>
          <w:iCs/>
          <w:lang w:val="ca-ES" w:eastAsia="es-ES"/>
        </w:rPr>
        <w:t xml:space="preserve">perquè pagui </w:t>
      </w:r>
      <w:r w:rsidRPr="00116D0F">
        <w:rPr>
          <w:rFonts w:ascii="Arial" w:eastAsia="Times New Roman" w:hAnsi="Arial" w:cs="Arial"/>
          <w:i/>
          <w:iCs/>
          <w:lang w:val="ca-ES" w:eastAsia="es-ES"/>
        </w:rPr>
        <w:t>la llegítima en doblers:</w:t>
      </w:r>
    </w:p>
    <w:p w14:paraId="7BF4C134" w14:textId="37F7446E" w:rsidR="00D46673" w:rsidRPr="00F04B3C" w:rsidRDefault="00D46673" w:rsidP="00846DA4">
      <w:pPr>
        <w:pStyle w:val="Textonotaalfinal"/>
        <w:numPr>
          <w:ilvl w:val="0"/>
          <w:numId w:val="2"/>
        </w:numPr>
        <w:jc w:val="both"/>
        <w:rPr>
          <w:rFonts w:ascii="Arial" w:hAnsi="Arial" w:cs="Arial"/>
          <w:i/>
          <w:iCs/>
          <w:lang w:val="ca-ES"/>
        </w:rPr>
      </w:pPr>
      <w:r>
        <w:rPr>
          <w:rFonts w:ascii="Arial" w:hAnsi="Arial" w:cs="Arial"/>
          <w:i/>
          <w:iCs/>
          <w:lang w:val="ca-ES"/>
        </w:rPr>
        <w:t xml:space="preserve">L’hereu disposa d’un any (si la llegítima no supera un terç del cabal hereditari) o de dos anys (si supera aquest terç) per comunicar al legitimari que ha optat per pagar la llegítima en diners: </w:t>
      </w:r>
      <w:r w:rsidR="00694171">
        <w:rPr>
          <w:rFonts w:ascii="Arial" w:eastAsia="Times New Roman" w:hAnsi="Arial" w:cs="Arial"/>
          <w:i/>
          <w:iCs/>
          <w:lang w:val="ca-ES" w:eastAsia="es-ES"/>
        </w:rPr>
        <w:t>“</w:t>
      </w:r>
      <w:r w:rsidRPr="00C0678B">
        <w:rPr>
          <w:rFonts w:ascii="Arial" w:hAnsi="Arial" w:cs="Arial"/>
          <w:i/>
          <w:iCs/>
          <w:lang w:val="ca-ES"/>
        </w:rPr>
        <w:t xml:space="preserve">La decisió de pagament en metàl·lic només produirà efectes si es comunica fefaentment als legitimaris en el termini d’un any des de l’obertura de la successió. </w:t>
      </w:r>
      <w:r>
        <w:rPr>
          <w:rFonts w:ascii="Arial" w:hAnsi="Arial" w:cs="Arial"/>
          <w:i/>
          <w:iCs/>
          <w:lang w:val="ca-ES"/>
        </w:rPr>
        <w:t>[...]</w:t>
      </w:r>
      <w:r w:rsidR="00694171">
        <w:rPr>
          <w:rFonts w:ascii="Arial" w:eastAsia="Times New Roman" w:hAnsi="Arial" w:cs="Arial"/>
          <w:i/>
          <w:iCs/>
          <w:lang w:val="ca-ES" w:eastAsia="es-ES"/>
        </w:rPr>
        <w:t>”</w:t>
      </w:r>
      <w:r>
        <w:rPr>
          <w:rFonts w:ascii="Arial" w:eastAsia="Times New Roman" w:hAnsi="Arial" w:cs="Arial"/>
          <w:i/>
          <w:iCs/>
          <w:lang w:val="ca-ES" w:eastAsia="es-ES"/>
        </w:rPr>
        <w:t xml:space="preserve"> (article 48, primer incís del paràgraf quart, </w:t>
      </w:r>
      <w:hyperlink r:id="rId12" w:history="1">
        <w:r w:rsidR="00881102" w:rsidRPr="00791E40">
          <w:rPr>
            <w:rStyle w:val="Hipervnculo"/>
            <w:rFonts w:ascii="Arial" w:hAnsi="Arial" w:cs="Arial"/>
            <w:i/>
            <w:iCs/>
            <w:lang w:val="ca-ES"/>
          </w:rPr>
          <w:t>CDCIB</w:t>
        </w:r>
      </w:hyperlink>
      <w:r>
        <w:rPr>
          <w:rFonts w:ascii="Arial" w:eastAsia="Times New Roman" w:hAnsi="Arial" w:cs="Arial"/>
          <w:i/>
          <w:iCs/>
          <w:lang w:val="ca-ES" w:eastAsia="es-ES"/>
        </w:rPr>
        <w:t>).</w:t>
      </w:r>
    </w:p>
    <w:p w14:paraId="69A5B7D2" w14:textId="1708E14E" w:rsidR="00D46673" w:rsidRDefault="00D46673" w:rsidP="00846DA4">
      <w:pPr>
        <w:pStyle w:val="Textonotaalfinal"/>
        <w:numPr>
          <w:ilvl w:val="0"/>
          <w:numId w:val="2"/>
        </w:numPr>
        <w:jc w:val="both"/>
        <w:rPr>
          <w:rFonts w:ascii="Arial" w:hAnsi="Arial" w:cs="Arial"/>
          <w:i/>
          <w:iCs/>
          <w:lang w:val="ca-ES"/>
        </w:rPr>
      </w:pPr>
      <w:r>
        <w:rPr>
          <w:rFonts w:ascii="Arial" w:hAnsi="Arial" w:cs="Arial"/>
          <w:i/>
          <w:iCs/>
          <w:lang w:val="ca-ES"/>
        </w:rPr>
        <w:t>Comunicada en</w:t>
      </w:r>
      <w:r w:rsidR="00694171">
        <w:rPr>
          <w:rFonts w:ascii="Arial" w:hAnsi="Arial" w:cs="Arial"/>
          <w:i/>
          <w:iCs/>
          <w:lang w:val="ca-ES"/>
        </w:rPr>
        <w:t xml:space="preserve"> el</w:t>
      </w:r>
      <w:r>
        <w:rPr>
          <w:rFonts w:ascii="Arial" w:hAnsi="Arial" w:cs="Arial"/>
          <w:i/>
          <w:iCs/>
          <w:lang w:val="ca-ES"/>
        </w:rPr>
        <w:t xml:space="preserve"> </w:t>
      </w:r>
      <w:r w:rsidR="00694171">
        <w:rPr>
          <w:rFonts w:ascii="Arial" w:hAnsi="Arial" w:cs="Arial"/>
          <w:i/>
          <w:iCs/>
          <w:lang w:val="ca-ES"/>
        </w:rPr>
        <w:t>termini</w:t>
      </w:r>
      <w:r>
        <w:rPr>
          <w:rFonts w:ascii="Arial" w:hAnsi="Arial" w:cs="Arial"/>
          <w:i/>
          <w:iCs/>
          <w:lang w:val="ca-ES"/>
        </w:rPr>
        <w:t xml:space="preserve"> i </w:t>
      </w:r>
      <w:r w:rsidR="00694171">
        <w:rPr>
          <w:rFonts w:ascii="Arial" w:hAnsi="Arial" w:cs="Arial"/>
          <w:i/>
          <w:iCs/>
          <w:lang w:val="ca-ES"/>
        </w:rPr>
        <w:t xml:space="preserve">la </w:t>
      </w:r>
      <w:r>
        <w:rPr>
          <w:rFonts w:ascii="Arial" w:hAnsi="Arial" w:cs="Arial"/>
          <w:i/>
          <w:iCs/>
          <w:lang w:val="ca-ES"/>
        </w:rPr>
        <w:t>forma</w:t>
      </w:r>
      <w:r w:rsidR="00694171">
        <w:rPr>
          <w:rFonts w:ascii="Arial" w:hAnsi="Arial" w:cs="Arial"/>
          <w:i/>
          <w:iCs/>
          <w:lang w:val="ca-ES"/>
        </w:rPr>
        <w:t xml:space="preserve"> escaients</w:t>
      </w:r>
      <w:r>
        <w:rPr>
          <w:rFonts w:ascii="Arial" w:hAnsi="Arial" w:cs="Arial"/>
          <w:i/>
          <w:iCs/>
          <w:lang w:val="ca-ES"/>
        </w:rPr>
        <w:t xml:space="preserve"> la decisió de pagar la llegítima en diners, l’hereu disposa d’un any (si la llegítima no supera un terç de l’herència) o de dos anys (si supera aquest terç) per pagar-la: </w:t>
      </w:r>
      <w:r w:rsidR="00694171">
        <w:rPr>
          <w:rFonts w:ascii="Arial" w:eastAsia="Times New Roman" w:hAnsi="Arial" w:cs="Arial"/>
          <w:i/>
          <w:iCs/>
          <w:lang w:val="ca-ES" w:eastAsia="es-ES"/>
        </w:rPr>
        <w:t>“</w:t>
      </w:r>
      <w:r w:rsidRPr="00C0678B">
        <w:rPr>
          <w:rFonts w:ascii="Arial" w:hAnsi="Arial" w:cs="Arial"/>
          <w:i/>
          <w:iCs/>
          <w:lang w:val="ca-ES"/>
        </w:rPr>
        <w:t>El pagament s’efectuarà dins de l’any següent a la comunicació, si la llegítima no supera la tercera part de l’herència, i en el termi</w:t>
      </w:r>
      <w:r w:rsidR="00694171">
        <w:rPr>
          <w:rFonts w:ascii="Arial" w:hAnsi="Arial" w:cs="Arial"/>
          <w:i/>
          <w:iCs/>
          <w:lang w:val="ca-ES"/>
        </w:rPr>
        <w:t>ni de dos anys, en cas contrari”</w:t>
      </w:r>
      <w:r w:rsidRPr="00C0678B">
        <w:rPr>
          <w:rFonts w:ascii="Arial" w:eastAsia="Times New Roman" w:hAnsi="Arial" w:cs="Arial"/>
          <w:i/>
          <w:iCs/>
          <w:lang w:val="ca-ES" w:eastAsia="es-ES"/>
        </w:rPr>
        <w:t xml:space="preserve"> </w:t>
      </w:r>
      <w:r>
        <w:rPr>
          <w:rFonts w:ascii="Arial" w:eastAsia="Times New Roman" w:hAnsi="Arial" w:cs="Arial"/>
          <w:i/>
          <w:iCs/>
          <w:lang w:val="ca-ES" w:eastAsia="es-ES"/>
        </w:rPr>
        <w:t xml:space="preserve">(article 48, segon incís del paràgraf quart, </w:t>
      </w:r>
      <w:hyperlink r:id="rId13" w:history="1">
        <w:r w:rsidR="00881102" w:rsidRPr="00791E40">
          <w:rPr>
            <w:rStyle w:val="Hipervnculo"/>
            <w:rFonts w:ascii="Arial" w:hAnsi="Arial" w:cs="Arial"/>
            <w:i/>
            <w:iCs/>
            <w:lang w:val="ca-ES"/>
          </w:rPr>
          <w:t>CDCIB</w:t>
        </w:r>
      </w:hyperlink>
      <w:r>
        <w:rPr>
          <w:rFonts w:ascii="Arial" w:eastAsia="Times New Roman" w:hAnsi="Arial" w:cs="Arial"/>
          <w:i/>
          <w:iCs/>
          <w:lang w:val="ca-ES" w:eastAsia="es-ES"/>
        </w:rPr>
        <w:t>).</w:t>
      </w:r>
    </w:p>
    <w:p w14:paraId="5C252B88" w14:textId="7C8A8C0A" w:rsidR="00D46673" w:rsidRPr="00C0678B" w:rsidRDefault="00D46673" w:rsidP="00846DA4">
      <w:pPr>
        <w:pStyle w:val="Textonotaalfinal"/>
        <w:numPr>
          <w:ilvl w:val="0"/>
          <w:numId w:val="2"/>
        </w:numPr>
        <w:jc w:val="both"/>
        <w:rPr>
          <w:rFonts w:ascii="Arial" w:hAnsi="Arial" w:cs="Arial"/>
          <w:i/>
          <w:iCs/>
          <w:lang w:val="ca-ES"/>
        </w:rPr>
      </w:pPr>
      <w:r>
        <w:rPr>
          <w:rFonts w:ascii="Arial" w:hAnsi="Arial" w:cs="Arial"/>
          <w:i/>
          <w:iCs/>
          <w:lang w:val="ca-ES"/>
        </w:rPr>
        <w:t>Transcorreguts el</w:t>
      </w:r>
      <w:r w:rsidR="00694171">
        <w:rPr>
          <w:rFonts w:ascii="Arial" w:hAnsi="Arial" w:cs="Arial"/>
          <w:i/>
          <w:iCs/>
          <w:lang w:val="ca-ES"/>
        </w:rPr>
        <w:t>s</w:t>
      </w:r>
      <w:r>
        <w:rPr>
          <w:rFonts w:ascii="Arial" w:hAnsi="Arial" w:cs="Arial"/>
          <w:i/>
          <w:iCs/>
          <w:lang w:val="ca-ES"/>
        </w:rPr>
        <w:t xml:space="preserve"> terminis prevists a l’</w:t>
      </w:r>
      <w:r>
        <w:rPr>
          <w:rFonts w:ascii="Arial" w:eastAsia="Times New Roman" w:hAnsi="Arial" w:cs="Arial"/>
          <w:i/>
          <w:iCs/>
          <w:lang w:val="ca-ES" w:eastAsia="es-ES"/>
        </w:rPr>
        <w:t xml:space="preserve">article 48, segon incís del paràgraf quart, CDCIB, sense que l’hereu hagi procedit al pagament de la llegítima, el legitimari en podrà reclamar el pagament: </w:t>
      </w:r>
      <w:r w:rsidR="00694171">
        <w:rPr>
          <w:rFonts w:ascii="Arial" w:eastAsia="Times New Roman" w:hAnsi="Arial" w:cs="Arial"/>
          <w:i/>
          <w:iCs/>
          <w:lang w:val="ca-ES" w:eastAsia="es-ES"/>
        </w:rPr>
        <w:t>“</w:t>
      </w:r>
      <w:r w:rsidRPr="00015AD0">
        <w:rPr>
          <w:rFonts w:ascii="Arial" w:hAnsi="Arial" w:cs="Arial"/>
          <w:i/>
          <w:iCs/>
          <w:lang w:val="ca-ES"/>
        </w:rPr>
        <w:t>Transcorreguts els terminis indicats sense que s’hagi efectuat el pagament en metàl·lic de la llegítima, el legitimari podrà reclamar-ne judicialment el pagament o complement, i la demanda es podrà anotar al Registre de la Propietat</w:t>
      </w:r>
      <w:r w:rsidR="00694171">
        <w:rPr>
          <w:rFonts w:ascii="Arial" w:hAnsi="Arial" w:cs="Arial"/>
          <w:i/>
          <w:iCs/>
          <w:lang w:val="ca-ES"/>
        </w:rPr>
        <w:t>”</w:t>
      </w:r>
      <w:r>
        <w:rPr>
          <w:rFonts w:ascii="Arial" w:eastAsia="Times New Roman" w:hAnsi="Arial" w:cs="Arial"/>
          <w:i/>
          <w:iCs/>
          <w:lang w:val="ca-ES" w:eastAsia="es-ES"/>
        </w:rPr>
        <w:t xml:space="preserve"> (article 48, paràgraf cinquè, </w:t>
      </w:r>
      <w:hyperlink r:id="rId14" w:history="1">
        <w:r w:rsidR="00881102" w:rsidRPr="00791E40">
          <w:rPr>
            <w:rStyle w:val="Hipervnculo"/>
            <w:rFonts w:ascii="Arial" w:hAnsi="Arial" w:cs="Arial"/>
            <w:i/>
            <w:iCs/>
            <w:lang w:val="ca-ES"/>
          </w:rPr>
          <w:t>CDCIB</w:t>
        </w:r>
      </w:hyperlink>
      <w:r>
        <w:rPr>
          <w:rFonts w:ascii="Arial" w:eastAsia="Times New Roman" w:hAnsi="Arial" w:cs="Arial"/>
          <w:i/>
          <w:iCs/>
          <w:lang w:val="ca-ES" w:eastAsia="es-ES"/>
        </w:rPr>
        <w:t>). S'ha d’observar que el dret del legitimari és el de reclamar els doblers, no béns de l’herència.</w:t>
      </w:r>
    </w:p>
    <w:p w14:paraId="4F7A99DD" w14:textId="77777777" w:rsidR="00D46673" w:rsidRDefault="00D46673" w:rsidP="00FF57E3">
      <w:pPr>
        <w:pStyle w:val="Textonotaalfinal"/>
        <w:jc w:val="both"/>
        <w:rPr>
          <w:rFonts w:ascii="Arial" w:hAnsi="Arial" w:cs="Arial"/>
          <w:i/>
          <w:iCs/>
          <w:lang w:val="ca-ES"/>
        </w:rPr>
      </w:pPr>
    </w:p>
    <w:p w14:paraId="6B5AEFCE" w14:textId="77777777" w:rsidR="00917F5B" w:rsidRDefault="00917F5B" w:rsidP="00FF57E3">
      <w:pPr>
        <w:pStyle w:val="Textonotaalfinal"/>
        <w:jc w:val="both"/>
        <w:rPr>
          <w:rFonts w:ascii="Arial" w:hAnsi="Arial" w:cs="Arial"/>
          <w:i/>
          <w:iCs/>
          <w:lang w:val="ca-ES"/>
        </w:rPr>
      </w:pPr>
    </w:p>
    <w:p w14:paraId="19856720" w14:textId="77777777" w:rsidR="00917F5B" w:rsidRPr="00D41309" w:rsidRDefault="00917F5B" w:rsidP="00917F5B">
      <w:pPr>
        <w:tabs>
          <w:tab w:val="left" w:pos="5103"/>
        </w:tabs>
        <w:spacing w:line="360" w:lineRule="auto"/>
        <w:jc w:val="both"/>
        <w:rPr>
          <w:rFonts w:ascii="Arial" w:hAnsi="Arial" w:cs="Arial"/>
          <w:i/>
          <w:iCs/>
          <w:sz w:val="18"/>
          <w:szCs w:val="18"/>
          <w:lang w:val="ca-ES"/>
        </w:rPr>
      </w:pPr>
      <w:r w:rsidRPr="00D41309">
        <w:rPr>
          <w:rFonts w:ascii="Arial" w:hAnsi="Arial" w:cs="Arial"/>
          <w:i/>
          <w:iCs/>
          <w:sz w:val="18"/>
          <w:szCs w:val="18"/>
          <w:lang w:val="ca-ES"/>
        </w:rPr>
        <w:t xml:space="preserve">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2" w:name="_Hlk97203260"/>
      <w:r w:rsidRPr="00D41309">
        <w:rPr>
          <w:rFonts w:ascii="Arial" w:hAnsi="Arial" w:cs="Arial"/>
          <w:i/>
          <w:iCs/>
          <w:sz w:val="18"/>
          <w:szCs w:val="18"/>
          <w:lang w:val="ca-ES"/>
        </w:rPr>
        <w:t>atès que es tracta d’un model creat per al foment del català a l’àmbit del dret.</w:t>
      </w:r>
      <w:bookmarkEnd w:id="2"/>
      <w:r w:rsidRPr="00D41309">
        <w:rPr>
          <w:rFonts w:ascii="Arial" w:hAnsi="Arial" w:cs="Arial"/>
          <w:i/>
          <w:iCs/>
          <w:sz w:val="18"/>
          <w:szCs w:val="18"/>
          <w:lang w:val="ca-ES"/>
        </w:rPr>
        <w:fldChar w:fldCharType="begin"/>
      </w:r>
      <w:r w:rsidRPr="00D41309">
        <w:rPr>
          <w:rFonts w:ascii="Arial" w:hAnsi="Arial" w:cs="Arial"/>
          <w:i/>
          <w:iCs/>
          <w:sz w:val="18"/>
          <w:szCs w:val="18"/>
          <w:lang w:val="ca-ES"/>
        </w:rPr>
        <w:instrText xml:space="preserve"> SET  DATEMAIL "29E5MV94"  </w:instrText>
      </w:r>
      <w:r w:rsidRPr="00D41309">
        <w:rPr>
          <w:rFonts w:ascii="Arial" w:hAnsi="Arial" w:cs="Arial"/>
          <w:i/>
          <w:iCs/>
          <w:sz w:val="18"/>
          <w:szCs w:val="18"/>
          <w:lang w:val="ca-ES"/>
        </w:rPr>
        <w:fldChar w:fldCharType="separate"/>
      </w:r>
      <w:bookmarkStart w:id="3" w:name="DATEMAIL"/>
      <w:r w:rsidRPr="00D41309">
        <w:rPr>
          <w:rFonts w:ascii="Arial" w:hAnsi="Arial" w:cs="Arial"/>
          <w:i/>
          <w:iCs/>
          <w:sz w:val="18"/>
          <w:szCs w:val="18"/>
          <w:lang w:val="ca-ES"/>
        </w:rPr>
        <w:t>29E5MV94</w:t>
      </w:r>
      <w:bookmarkEnd w:id="3"/>
      <w:r w:rsidRPr="00D41309">
        <w:rPr>
          <w:rFonts w:ascii="Arial" w:hAnsi="Arial" w:cs="Arial"/>
          <w:i/>
          <w:iCs/>
          <w:sz w:val="18"/>
          <w:szCs w:val="18"/>
          <w:lang w:val="ca-ES"/>
        </w:rPr>
        <w:fldChar w:fldCharType="end"/>
      </w:r>
    </w:p>
    <w:p w14:paraId="35F1D501" w14:textId="77777777" w:rsidR="00917F5B" w:rsidRPr="00C0678B" w:rsidRDefault="00917F5B" w:rsidP="00FF57E3">
      <w:pPr>
        <w:pStyle w:val="Textonotaalfinal"/>
        <w:jc w:val="both"/>
        <w:rPr>
          <w:rFonts w:ascii="Arial" w:hAnsi="Arial" w:cs="Arial"/>
          <w:i/>
          <w:iCs/>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A13F" w14:textId="77777777" w:rsidR="00D46673" w:rsidRDefault="00D46673" w:rsidP="000913F7">
      <w:pPr>
        <w:spacing w:after="0" w:line="240" w:lineRule="auto"/>
      </w:pPr>
      <w:r>
        <w:separator/>
      </w:r>
    </w:p>
  </w:footnote>
  <w:footnote w:type="continuationSeparator" w:id="0">
    <w:p w14:paraId="57C0A0F8" w14:textId="77777777" w:rsidR="00D46673" w:rsidRDefault="00D46673"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90B"/>
    <w:multiLevelType w:val="hybridMultilevel"/>
    <w:tmpl w:val="DB7EE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1040741715">
    <w:abstractNumId w:val="1"/>
  </w:num>
  <w:num w:numId="2" w16cid:durableId="172532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58F"/>
    <w:rsid w:val="00011F92"/>
    <w:rsid w:val="00015AD0"/>
    <w:rsid w:val="00060BF5"/>
    <w:rsid w:val="00073FA9"/>
    <w:rsid w:val="00083FD2"/>
    <w:rsid w:val="00085FFF"/>
    <w:rsid w:val="000913F7"/>
    <w:rsid w:val="000A20EA"/>
    <w:rsid w:val="000D1A92"/>
    <w:rsid w:val="000E1900"/>
    <w:rsid w:val="00100DBF"/>
    <w:rsid w:val="00102068"/>
    <w:rsid w:val="00102D17"/>
    <w:rsid w:val="00116D0F"/>
    <w:rsid w:val="00117F42"/>
    <w:rsid w:val="001257D0"/>
    <w:rsid w:val="001357C3"/>
    <w:rsid w:val="00143C45"/>
    <w:rsid w:val="00162231"/>
    <w:rsid w:val="001A3A7B"/>
    <w:rsid w:val="001A447A"/>
    <w:rsid w:val="001C463B"/>
    <w:rsid w:val="001D0217"/>
    <w:rsid w:val="001E3101"/>
    <w:rsid w:val="001F0D76"/>
    <w:rsid w:val="00234993"/>
    <w:rsid w:val="00262A24"/>
    <w:rsid w:val="00271F7C"/>
    <w:rsid w:val="002C03CD"/>
    <w:rsid w:val="002C6D4E"/>
    <w:rsid w:val="002C7EFC"/>
    <w:rsid w:val="002D3E31"/>
    <w:rsid w:val="002F7036"/>
    <w:rsid w:val="00301EA5"/>
    <w:rsid w:val="00313F28"/>
    <w:rsid w:val="003167BA"/>
    <w:rsid w:val="00334484"/>
    <w:rsid w:val="00341719"/>
    <w:rsid w:val="00342C3B"/>
    <w:rsid w:val="00347F4B"/>
    <w:rsid w:val="00371E37"/>
    <w:rsid w:val="00373574"/>
    <w:rsid w:val="00377C10"/>
    <w:rsid w:val="00384C1F"/>
    <w:rsid w:val="00394B79"/>
    <w:rsid w:val="003D397D"/>
    <w:rsid w:val="003F7F6C"/>
    <w:rsid w:val="0045082E"/>
    <w:rsid w:val="0045629D"/>
    <w:rsid w:val="00461C8C"/>
    <w:rsid w:val="00463CD7"/>
    <w:rsid w:val="00467625"/>
    <w:rsid w:val="00467A9B"/>
    <w:rsid w:val="00473241"/>
    <w:rsid w:val="00491AC8"/>
    <w:rsid w:val="004A3A01"/>
    <w:rsid w:val="004B08D3"/>
    <w:rsid w:val="004B4376"/>
    <w:rsid w:val="004E1140"/>
    <w:rsid w:val="004F648A"/>
    <w:rsid w:val="00511871"/>
    <w:rsid w:val="00523F1D"/>
    <w:rsid w:val="00545A69"/>
    <w:rsid w:val="005560D0"/>
    <w:rsid w:val="00556E24"/>
    <w:rsid w:val="00565227"/>
    <w:rsid w:val="0056758F"/>
    <w:rsid w:val="005713F7"/>
    <w:rsid w:val="005767F3"/>
    <w:rsid w:val="005B7440"/>
    <w:rsid w:val="005C2FEF"/>
    <w:rsid w:val="005C7765"/>
    <w:rsid w:val="006169F1"/>
    <w:rsid w:val="006200DF"/>
    <w:rsid w:val="00621205"/>
    <w:rsid w:val="00645F7D"/>
    <w:rsid w:val="006503F5"/>
    <w:rsid w:val="00667E26"/>
    <w:rsid w:val="00692748"/>
    <w:rsid w:val="00694171"/>
    <w:rsid w:val="006B2FBA"/>
    <w:rsid w:val="006C5295"/>
    <w:rsid w:val="006C6E68"/>
    <w:rsid w:val="006D3665"/>
    <w:rsid w:val="006D5CFC"/>
    <w:rsid w:val="00703FBF"/>
    <w:rsid w:val="007053FB"/>
    <w:rsid w:val="0071491D"/>
    <w:rsid w:val="007178DF"/>
    <w:rsid w:val="00720708"/>
    <w:rsid w:val="00734CCC"/>
    <w:rsid w:val="00735B16"/>
    <w:rsid w:val="0073646F"/>
    <w:rsid w:val="00737354"/>
    <w:rsid w:val="00756CA4"/>
    <w:rsid w:val="00760DD1"/>
    <w:rsid w:val="007619BE"/>
    <w:rsid w:val="00786253"/>
    <w:rsid w:val="00794DAD"/>
    <w:rsid w:val="00794F2D"/>
    <w:rsid w:val="007A1C73"/>
    <w:rsid w:val="007C012F"/>
    <w:rsid w:val="007C24E5"/>
    <w:rsid w:val="007C2FF6"/>
    <w:rsid w:val="007D48F7"/>
    <w:rsid w:val="007F06CE"/>
    <w:rsid w:val="007F1FEA"/>
    <w:rsid w:val="00807C16"/>
    <w:rsid w:val="0083558C"/>
    <w:rsid w:val="00846DA4"/>
    <w:rsid w:val="008528A5"/>
    <w:rsid w:val="00854989"/>
    <w:rsid w:val="00857AE3"/>
    <w:rsid w:val="00881102"/>
    <w:rsid w:val="00895E3A"/>
    <w:rsid w:val="008A0CAC"/>
    <w:rsid w:val="008A0E50"/>
    <w:rsid w:val="008A513A"/>
    <w:rsid w:val="008A556E"/>
    <w:rsid w:val="008B0E0C"/>
    <w:rsid w:val="008C2354"/>
    <w:rsid w:val="008C3B5A"/>
    <w:rsid w:val="008D518E"/>
    <w:rsid w:val="008D6B7C"/>
    <w:rsid w:val="008E4471"/>
    <w:rsid w:val="008F69F3"/>
    <w:rsid w:val="00915DD8"/>
    <w:rsid w:val="009172AB"/>
    <w:rsid w:val="00917F5B"/>
    <w:rsid w:val="00924C4C"/>
    <w:rsid w:val="009268A2"/>
    <w:rsid w:val="00961BC8"/>
    <w:rsid w:val="009717C2"/>
    <w:rsid w:val="009770BE"/>
    <w:rsid w:val="009961ED"/>
    <w:rsid w:val="009B0CEE"/>
    <w:rsid w:val="009B1DE1"/>
    <w:rsid w:val="009C013E"/>
    <w:rsid w:val="009C16EB"/>
    <w:rsid w:val="009D623A"/>
    <w:rsid w:val="00A1118E"/>
    <w:rsid w:val="00A2009D"/>
    <w:rsid w:val="00A31284"/>
    <w:rsid w:val="00A31BD1"/>
    <w:rsid w:val="00A62F72"/>
    <w:rsid w:val="00A704CC"/>
    <w:rsid w:val="00A8713C"/>
    <w:rsid w:val="00AA1287"/>
    <w:rsid w:val="00AC41E7"/>
    <w:rsid w:val="00AC75BE"/>
    <w:rsid w:val="00AD0268"/>
    <w:rsid w:val="00AD1065"/>
    <w:rsid w:val="00AD7359"/>
    <w:rsid w:val="00AD7F24"/>
    <w:rsid w:val="00AE6874"/>
    <w:rsid w:val="00AF41F5"/>
    <w:rsid w:val="00AF4B24"/>
    <w:rsid w:val="00B014EF"/>
    <w:rsid w:val="00B05965"/>
    <w:rsid w:val="00B17639"/>
    <w:rsid w:val="00B4660F"/>
    <w:rsid w:val="00B4748D"/>
    <w:rsid w:val="00B61C59"/>
    <w:rsid w:val="00B64DC7"/>
    <w:rsid w:val="00B8013A"/>
    <w:rsid w:val="00B821C2"/>
    <w:rsid w:val="00B965C0"/>
    <w:rsid w:val="00BA0841"/>
    <w:rsid w:val="00BB2B34"/>
    <w:rsid w:val="00BF3757"/>
    <w:rsid w:val="00C0019E"/>
    <w:rsid w:val="00C0678B"/>
    <w:rsid w:val="00C0755A"/>
    <w:rsid w:val="00C100FE"/>
    <w:rsid w:val="00C55397"/>
    <w:rsid w:val="00C874CE"/>
    <w:rsid w:val="00C91B7D"/>
    <w:rsid w:val="00C95E40"/>
    <w:rsid w:val="00C97182"/>
    <w:rsid w:val="00CA5AE7"/>
    <w:rsid w:val="00CB2B8A"/>
    <w:rsid w:val="00CD0736"/>
    <w:rsid w:val="00CD18BE"/>
    <w:rsid w:val="00CD7530"/>
    <w:rsid w:val="00CE75C2"/>
    <w:rsid w:val="00CF57FB"/>
    <w:rsid w:val="00D1235A"/>
    <w:rsid w:val="00D16BCE"/>
    <w:rsid w:val="00D273D7"/>
    <w:rsid w:val="00D37EA8"/>
    <w:rsid w:val="00D44592"/>
    <w:rsid w:val="00D46673"/>
    <w:rsid w:val="00D56A3F"/>
    <w:rsid w:val="00D70EF6"/>
    <w:rsid w:val="00D7446B"/>
    <w:rsid w:val="00D75680"/>
    <w:rsid w:val="00D75D92"/>
    <w:rsid w:val="00D8511F"/>
    <w:rsid w:val="00D85A28"/>
    <w:rsid w:val="00D86CB6"/>
    <w:rsid w:val="00D902AE"/>
    <w:rsid w:val="00D9159F"/>
    <w:rsid w:val="00D966E5"/>
    <w:rsid w:val="00DA00AE"/>
    <w:rsid w:val="00DA119E"/>
    <w:rsid w:val="00DC4674"/>
    <w:rsid w:val="00DD5E26"/>
    <w:rsid w:val="00DE374C"/>
    <w:rsid w:val="00E204D6"/>
    <w:rsid w:val="00E33380"/>
    <w:rsid w:val="00E35BD4"/>
    <w:rsid w:val="00E46384"/>
    <w:rsid w:val="00E61473"/>
    <w:rsid w:val="00E628A9"/>
    <w:rsid w:val="00E63650"/>
    <w:rsid w:val="00E659E3"/>
    <w:rsid w:val="00E96493"/>
    <w:rsid w:val="00EA103F"/>
    <w:rsid w:val="00EA7D35"/>
    <w:rsid w:val="00EE4A9A"/>
    <w:rsid w:val="00EF4CE0"/>
    <w:rsid w:val="00F012BA"/>
    <w:rsid w:val="00F02D02"/>
    <w:rsid w:val="00F04B3C"/>
    <w:rsid w:val="00F36F1E"/>
    <w:rsid w:val="00F56E58"/>
    <w:rsid w:val="00F81622"/>
    <w:rsid w:val="00F83F07"/>
    <w:rsid w:val="00FB2DCB"/>
    <w:rsid w:val="00FC044A"/>
    <w:rsid w:val="00FC07DC"/>
    <w:rsid w:val="00FC17CD"/>
    <w:rsid w:val="00FC797E"/>
    <w:rsid w:val="00FD0A84"/>
    <w:rsid w:val="00FE250E"/>
    <w:rsid w:val="00FE60CE"/>
    <w:rsid w:val="00FF57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character" w:customStyle="1" w:styleId="markedcontent">
    <w:name w:val="markedcontent"/>
    <w:basedOn w:val="Fuentedeprrafopredeter"/>
    <w:rsid w:val="00807C16"/>
  </w:style>
  <w:style w:type="paragraph" w:styleId="Textodeglobo">
    <w:name w:val="Balloon Text"/>
    <w:basedOn w:val="Normal"/>
    <w:link w:val="TextodegloboCar"/>
    <w:uiPriority w:val="99"/>
    <w:semiHidden/>
    <w:unhideWhenUsed/>
    <w:rsid w:val="00D4667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6673"/>
    <w:rPr>
      <w:rFonts w:ascii="Lucida Grande" w:hAnsi="Lucida Grande"/>
      <w:sz w:val="18"/>
      <w:szCs w:val="18"/>
    </w:rPr>
  </w:style>
  <w:style w:type="character" w:styleId="Hipervnculo">
    <w:name w:val="Hyperlink"/>
    <w:basedOn w:val="Fuentedeprrafopredeter"/>
    <w:uiPriority w:val="99"/>
    <w:unhideWhenUsed/>
    <w:rsid w:val="00D1235A"/>
    <w:rPr>
      <w:color w:val="0563C1" w:themeColor="hyperlink"/>
      <w:u w:val="single"/>
    </w:rPr>
  </w:style>
  <w:style w:type="paragraph" w:styleId="Encabezado">
    <w:name w:val="header"/>
    <w:basedOn w:val="Normal"/>
    <w:link w:val="EncabezadoCar"/>
    <w:uiPriority w:val="99"/>
    <w:unhideWhenUsed/>
    <w:rsid w:val="009D6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23A"/>
  </w:style>
  <w:style w:type="paragraph" w:styleId="Piedepgina">
    <w:name w:val="footer"/>
    <w:basedOn w:val="Normal"/>
    <w:link w:val="PiedepginaCar"/>
    <w:uiPriority w:val="99"/>
    <w:unhideWhenUsed/>
    <w:rsid w:val="009D6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compendium.cat/wp-content/uploads/2023/05/Llei_18_2001_versio-cons.pdf" TargetMode="External"/><Relationship Id="rId13" Type="http://schemas.openxmlformats.org/officeDocument/2006/relationships/hyperlink" Target="https://compendium.cat/wp-content/uploads/2023/05/Comp-Dret-Civil-Balears_versio-cons-1.pdf" TargetMode="External"/><Relationship Id="rId3" Type="http://schemas.openxmlformats.org/officeDocument/2006/relationships/hyperlink" Target="https://compendium.cat/wp-content/uploads/2023/05/Comp-Dret-Civil-Balears_versio-cons-1.pdf" TargetMode="External"/><Relationship Id="rId7" Type="http://schemas.openxmlformats.org/officeDocument/2006/relationships/hyperlink" Target="https://compendium.cat/wp-content/uploads/2023/05/Comp-Dret-Civil-Balears_versio-cons-1.pdf" TargetMode="External"/><Relationship Id="rId12" Type="http://schemas.openxmlformats.org/officeDocument/2006/relationships/hyperlink" Target="https://compendium.cat/wp-content/uploads/2023/05/Comp-Dret-Civil-Balears_versio-cons-1.pdf" TargetMode="External"/><Relationship Id="rId2" Type="http://schemas.openxmlformats.org/officeDocument/2006/relationships/hyperlink" Target="https://compendium.cat/wp-content/uploads/2023/05/Comp-Dret-Civil-Balears_versio-cons-1.pdf" TargetMode="External"/><Relationship Id="rId1" Type="http://schemas.openxmlformats.org/officeDocument/2006/relationships/hyperlink" Target="https://compendium.cat/wp-content/uploads/2023/05/Comp-Dret-Civil-Balears_versio-cons-1.pdf" TargetMode="External"/><Relationship Id="rId6" Type="http://schemas.openxmlformats.org/officeDocument/2006/relationships/hyperlink" Target="https://compendium.cat/wp-content/uploads/2023/05/Comp-Dret-Civil-Balears_versio-cons-1.pdf" TargetMode="External"/><Relationship Id="rId11" Type="http://schemas.openxmlformats.org/officeDocument/2006/relationships/hyperlink" Target="https://compendium.cat/wp-content/uploads/2023/05/Llei_18_2001_versio-cons.pdf" TargetMode="External"/><Relationship Id="rId5" Type="http://schemas.openxmlformats.org/officeDocument/2006/relationships/hyperlink" Target="https://compendium.cat/wp-content/uploads/2023/05/Comp-Dret-Civil-Balears_versio-cons-1.pdf" TargetMode="External"/><Relationship Id="rId10" Type="http://schemas.openxmlformats.org/officeDocument/2006/relationships/hyperlink" Target="https://compendium.cat/wp-content/uploads/2023/05/Comp-Dret-Civil-Balears_versio-cons-1.pdf" TargetMode="External"/><Relationship Id="rId4" Type="http://schemas.openxmlformats.org/officeDocument/2006/relationships/hyperlink" Target="https://compendium.cat/wp-content/uploads/2023/05/Comp-Dret-Civil-Balears_versio-cons-1.pdf" TargetMode="External"/><Relationship Id="rId9" Type="http://schemas.openxmlformats.org/officeDocument/2006/relationships/hyperlink" Target="https://compendium.cat/wp-content/uploads/2023/05/Llei_18_2001_versio-cons.pdf" TargetMode="External"/><Relationship Id="rId14" Type="http://schemas.openxmlformats.org/officeDocument/2006/relationships/hyperlink" Target="https://compendium.cat/wp-content/uploads/2023/05/Comp-Dret-Civil-Balears_versio-con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4A6D-6256-5048-9980-D8AB040B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2023-05-18T16:47:00Z</dcterms:created>
  <dcterms:modified xsi:type="dcterms:W3CDTF">2023-05-18T16:47:00Z</dcterms:modified>
</cp:coreProperties>
</file>